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26" w:rsidRDefault="00800A26" w:rsidP="00815046">
      <w:pPr>
        <w:jc w:val="both"/>
      </w:pPr>
      <w:bookmarkStart w:id="0" w:name="_MacBuGuideStaticData_10780H"/>
      <w:bookmarkStart w:id="1" w:name="_MacBuGuideStaticData_5547H"/>
      <w:bookmarkStart w:id="2" w:name="_GoBack"/>
      <w:bookmarkEnd w:id="2"/>
    </w:p>
    <w:p w:rsidR="00800A26" w:rsidRDefault="00800A26" w:rsidP="00815046">
      <w:pPr>
        <w:jc w:val="both"/>
      </w:pPr>
    </w:p>
    <w:p w:rsidR="00800A26" w:rsidRDefault="00800A26" w:rsidP="00815046">
      <w:pPr>
        <w:jc w:val="both"/>
      </w:pPr>
    </w:p>
    <w:p w:rsidR="00800A26" w:rsidRDefault="00800A26" w:rsidP="00815046">
      <w:pPr>
        <w:jc w:val="both"/>
      </w:pPr>
    </w:p>
    <w:p w:rsidR="00800A26" w:rsidRDefault="00800A26" w:rsidP="00815046">
      <w:pPr>
        <w:jc w:val="both"/>
      </w:pPr>
    </w:p>
    <w:p w:rsidR="007E3419" w:rsidRPr="00D36E3D" w:rsidRDefault="00A74DAE" w:rsidP="00800A26">
      <w:pPr>
        <w:rPr>
          <w:i/>
        </w:rPr>
      </w:pPr>
      <w:r w:rsidRPr="00800A26">
        <w:rPr>
          <w:rFonts w:asciiTheme="minorHAnsi" w:hAnsiTheme="minorHAnsi" w:cstheme="minorBidi"/>
          <w:b/>
          <w:noProof/>
          <w:color w:val="0072C6" w:themeColor="text2"/>
          <w:sz w:val="80"/>
          <w:szCs w:val="80"/>
          <w:lang w:eastAsia="en-GB"/>
        </w:rPr>
        <mc:AlternateContent>
          <mc:Choice Requires="wps">
            <w:drawing>
              <wp:anchor distT="0" distB="0" distL="114300" distR="114300" simplePos="0" relativeHeight="251645440" behindDoc="0" locked="0" layoutInCell="1" allowOverlap="1" wp14:anchorId="19F7BB05" wp14:editId="4FCE7F24">
                <wp:simplePos x="0" y="0"/>
                <wp:positionH relativeFrom="page">
                  <wp:posOffset>504825</wp:posOffset>
                </wp:positionH>
                <wp:positionV relativeFrom="page">
                  <wp:posOffset>3524250</wp:posOffset>
                </wp:positionV>
                <wp:extent cx="6533515" cy="4314825"/>
                <wp:effectExtent l="0" t="0" r="0" b="9525"/>
                <wp:wrapThrough wrapText="bothSides">
                  <wp:wrapPolygon edited="0">
                    <wp:start x="126" y="0"/>
                    <wp:lineTo x="126" y="21552"/>
                    <wp:lineTo x="21413" y="21552"/>
                    <wp:lineTo x="21413" y="0"/>
                    <wp:lineTo x="126"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3515"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9AB" w:rsidRDefault="00E739AB" w:rsidP="00D36E3D">
                            <w:pPr>
                              <w:pStyle w:val="Title"/>
                              <w:rPr>
                                <w:rFonts w:asciiTheme="minorHAnsi" w:hAnsiTheme="minorHAnsi" w:cstheme="minorBidi"/>
                              </w:rPr>
                            </w:pPr>
                            <w:r>
                              <w:rPr>
                                <w:rFonts w:asciiTheme="minorHAnsi" w:hAnsiTheme="minorHAnsi" w:cstheme="minorBidi"/>
                              </w:rPr>
                              <w:t>Report to Health and Well-Being Board on Section 7a Immunisation Programmes in Harrow 2017/18</w:t>
                            </w:r>
                          </w:p>
                          <w:p w:rsidR="00E739AB" w:rsidRDefault="00E739AB" w:rsidP="00D36E3D"/>
                          <w:p w:rsidR="00E739AB" w:rsidRPr="00D36E3D" w:rsidRDefault="00E739AB" w:rsidP="00D36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F7BB05" id="_x0000_t202" coordsize="21600,21600" o:spt="202" path="m,l,21600r21600,l21600,xe">
                <v:stroke joinstyle="miter"/>
                <v:path gradientshapeok="t" o:connecttype="rect"/>
              </v:shapetype>
              <v:shape id="Text Box 20" o:spid="_x0000_s1026" type="#_x0000_t202" style="position:absolute;margin-left:39.75pt;margin-top:277.5pt;width:514.45pt;height:339.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" filled="f" stroked="f">
                <v:path arrowok="t"/>
                <v:textbox>
                  <w:txbxContent>
                    <w:p w:rsidR="00E739AB" w:rsidRDefault="00E739AB" w:rsidP="00D36E3D">
                      <w:pPr>
                        <w:pStyle w:val="Title"/>
                        <w:rPr>
                          <w:rFonts w:asciiTheme="minorHAnsi" w:hAnsiTheme="minorHAnsi" w:cstheme="minorBidi"/>
                        </w:rPr>
                      </w:pPr>
                      <w:r>
                        <w:rPr>
                          <w:rFonts w:asciiTheme="minorHAnsi" w:hAnsiTheme="minorHAnsi" w:cstheme="minorBidi"/>
                        </w:rPr>
                        <w:t>Report to Health and Well-Being Board on Section 7a Immunisation Programmes in Harrow 2017/18</w:t>
                      </w:r>
                    </w:p>
                    <w:p w:rsidR="00E739AB" w:rsidRDefault="00E739AB" w:rsidP="00D36E3D"/>
                    <w:p w:rsidR="00E739AB" w:rsidRPr="00D36E3D" w:rsidRDefault="00E739AB" w:rsidP="00D36E3D"/>
                  </w:txbxContent>
                </v:textbox>
                <w10:wrap type="through" anchorx="page" anchory="page"/>
              </v:shape>
            </w:pict>
          </mc:Fallback>
        </mc:AlternateContent>
      </w:r>
      <w:r w:rsidR="00BC1E80" w:rsidRPr="00800A26">
        <w:rPr>
          <w:rFonts w:asciiTheme="minorHAnsi" w:hAnsiTheme="minorHAnsi" w:cstheme="minorBidi"/>
          <w:b/>
          <w:noProof/>
          <w:color w:val="0072C6" w:themeColor="text2"/>
          <w:sz w:val="80"/>
          <w:szCs w:val="80"/>
          <w:lang w:eastAsia="en-GB"/>
        </w:rPr>
        <w:drawing>
          <wp:anchor distT="0" distB="0" distL="114300" distR="114300" simplePos="0" relativeHeight="251675136" behindDoc="0" locked="0" layoutInCell="1" allowOverlap="1" wp14:anchorId="3FF05721" wp14:editId="024B58AC">
            <wp:simplePos x="0" y="0"/>
            <wp:positionH relativeFrom="page">
              <wp:posOffset>5062855</wp:posOffset>
            </wp:positionH>
            <wp:positionV relativeFrom="page">
              <wp:posOffset>8293735</wp:posOffset>
            </wp:positionV>
            <wp:extent cx="1971675" cy="1929130"/>
            <wp:effectExtent l="0" t="0" r="9525" b="0"/>
            <wp:wrapTight wrapText="bothSides">
              <wp:wrapPolygon edited="0">
                <wp:start x="16487" y="0"/>
                <wp:lineTo x="11687" y="6826"/>
                <wp:lineTo x="2504" y="10025"/>
                <wp:lineTo x="209" y="13651"/>
                <wp:lineTo x="0" y="14504"/>
                <wp:lineTo x="0" y="15357"/>
                <wp:lineTo x="8348" y="21330"/>
                <wp:lineTo x="9600" y="21330"/>
                <wp:lineTo x="21496" y="3839"/>
                <wp:lineTo x="21496" y="2773"/>
                <wp:lineTo x="17739" y="0"/>
                <wp:lineTo x="16487"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71675" cy="1929130"/>
                    </a:xfrm>
                    <a:prstGeom prst="rect">
                      <a:avLst/>
                    </a:prstGeom>
                  </pic:spPr>
                </pic:pic>
              </a:graphicData>
            </a:graphic>
          </wp:anchor>
        </w:drawing>
      </w:r>
      <w:r w:rsidR="0002174B" w:rsidRPr="00800A26">
        <w:rPr>
          <w:rFonts w:asciiTheme="minorHAnsi" w:hAnsiTheme="minorHAnsi" w:cstheme="minorBidi"/>
          <w:b/>
          <w:noProof/>
          <w:color w:val="0072C6" w:themeColor="text2"/>
          <w:sz w:val="80"/>
          <w:szCs w:val="80"/>
          <w:lang w:eastAsia="en-GB"/>
        </w:rPr>
        <w:drawing>
          <wp:anchor distT="0" distB="0" distL="114300" distR="114300" simplePos="0" relativeHeight="251647488" behindDoc="0" locked="0" layoutInCell="1" allowOverlap="1" wp14:anchorId="1F955D22" wp14:editId="40229FFF">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anchor>
        </w:drawing>
      </w:r>
      <w:r w:rsidR="005629D1" w:rsidRPr="00800A26">
        <w:rPr>
          <w:rFonts w:asciiTheme="minorHAnsi" w:hAnsiTheme="minorHAnsi" w:cstheme="minorBidi"/>
          <w:b/>
          <w:color w:val="0072C6" w:themeColor="text2"/>
          <w:sz w:val="80"/>
          <w:szCs w:val="80"/>
        </w:rPr>
        <w:br w:type="page"/>
      </w:r>
      <w:bookmarkEnd w:id="0"/>
      <w:bookmarkEnd w:id="1"/>
      <w:r w:rsidR="00D36E3D">
        <w:rPr>
          <w:b/>
          <w:sz w:val="32"/>
          <w:szCs w:val="32"/>
        </w:rPr>
        <w:lastRenderedPageBreak/>
        <w:t xml:space="preserve">Report on Section 7a Immunisation Programmes in London Borough of </w:t>
      </w:r>
      <w:r w:rsidR="00E3016F">
        <w:rPr>
          <w:b/>
          <w:sz w:val="32"/>
          <w:szCs w:val="32"/>
        </w:rPr>
        <w:t>Harrow</w:t>
      </w:r>
    </w:p>
    <w:p w:rsidR="00F32A44" w:rsidRDefault="00F32A44" w:rsidP="00815046">
      <w:pPr>
        <w:jc w:val="both"/>
      </w:pPr>
    </w:p>
    <w:p w:rsidR="0094253A" w:rsidRDefault="00103EE7" w:rsidP="00815046">
      <w:pPr>
        <w:jc w:val="both"/>
      </w:pPr>
      <w:r>
        <w:t>Prepared by:</w:t>
      </w:r>
      <w:r w:rsidR="00AB18F3">
        <w:t xml:space="preserve"> </w:t>
      </w:r>
      <w:r w:rsidR="0079347A">
        <w:t>Miss Lucy Rumbellow</w:t>
      </w:r>
      <w:r w:rsidR="00277616">
        <w:t>, Immunisation Commissioning Manager</w:t>
      </w:r>
      <w:r w:rsidR="000B7D93">
        <w:t xml:space="preserve"> for North West London</w:t>
      </w:r>
      <w:r w:rsidR="00730812">
        <w:t xml:space="preserve"> and Dr Catherine Heffernan, Principal Advisor for Commissioning Immunisations and Vaccination Services </w:t>
      </w:r>
    </w:p>
    <w:p w:rsidR="007E3419" w:rsidRDefault="00A46DF7" w:rsidP="00815046">
      <w:pPr>
        <w:jc w:val="both"/>
      </w:pPr>
      <w:r>
        <w:t>Presented to: Health</w:t>
      </w:r>
      <w:r w:rsidR="006F7C3F">
        <w:t xml:space="preserve"> and Wellbeing Board</w:t>
      </w:r>
      <w:r w:rsidR="007E3419">
        <w:t>.</w:t>
      </w:r>
    </w:p>
    <w:p w:rsidR="007E3419" w:rsidRDefault="007E3419" w:rsidP="00815046">
      <w:pPr>
        <w:jc w:val="both"/>
      </w:pPr>
    </w:p>
    <w:p w:rsidR="0094253A" w:rsidRDefault="0094253A" w:rsidP="00815046">
      <w:pPr>
        <w:jc w:val="both"/>
      </w:pPr>
      <w:r>
        <w:t xml:space="preserve">Classification: </w:t>
      </w:r>
      <w:r w:rsidR="0085549A">
        <w:t>OFFICIAL</w:t>
      </w:r>
    </w:p>
    <w:p w:rsidR="00AB18F3" w:rsidRDefault="00AB18F3" w:rsidP="00815046">
      <w:pPr>
        <w:jc w:val="both"/>
      </w:pPr>
    </w:p>
    <w:p w:rsidR="00AB18F3" w:rsidRDefault="00AB18F3" w:rsidP="00815046">
      <w:pPr>
        <w:jc w:val="both"/>
        <w:rPr>
          <w:rFonts w:eastAsia="Calibri" w:cs="Arial"/>
          <w:bCs w:val="0"/>
          <w:color w:val="242424"/>
          <w:sz w:val="22"/>
          <w:szCs w:val="22"/>
          <w:lang w:val="en-US"/>
        </w:rPr>
      </w:pPr>
    </w:p>
    <w:p w:rsidR="00C35256" w:rsidRPr="00C35256" w:rsidRDefault="00C35256" w:rsidP="00815046">
      <w:pPr>
        <w:jc w:val="both"/>
        <w:rPr>
          <w:rFonts w:ascii="Calibri" w:eastAsia="Calibri" w:hAnsi="Calibri" w:cs="Calibri"/>
          <w:bCs w:val="0"/>
          <w:sz w:val="22"/>
          <w:szCs w:val="22"/>
        </w:rPr>
      </w:pPr>
      <w:r w:rsidRPr="00C35256">
        <w:rPr>
          <w:rFonts w:eastAsia="Calibri" w:cs="Arial"/>
          <w:bCs w:val="0"/>
          <w:color w:val="242424"/>
          <w:sz w:val="22"/>
          <w:szCs w:val="22"/>
          <w:lang w:val="en-US"/>
        </w:rPr>
        <w:t>The NHS Commissioning Board (NHS CB) was established on 1 October 2012 as an executive non-departmental public body. Since 1 April 2013, the NHS Commissioning Board has used the name NHS England for operational purposes.</w:t>
      </w:r>
    </w:p>
    <w:p w:rsidR="001264F6" w:rsidRPr="00C35256" w:rsidRDefault="001264F6" w:rsidP="00815046">
      <w:pPr>
        <w:jc w:val="both"/>
        <w:rPr>
          <w:sz w:val="22"/>
          <w:szCs w:val="22"/>
        </w:rPr>
      </w:pPr>
      <w:r w:rsidRPr="00C35256">
        <w:rPr>
          <w:sz w:val="22"/>
          <w:szCs w:val="22"/>
        </w:rPr>
        <w:br w:type="page"/>
      </w:r>
    </w:p>
    <w:bookmarkStart w:id="3" w:name="_Toc531010355"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rsidR="001264F6" w:rsidRPr="00CA78CE" w:rsidRDefault="001264F6" w:rsidP="00815046">
          <w:pPr>
            <w:pStyle w:val="Heading1"/>
            <w:numPr>
              <w:ilvl w:val="0"/>
              <w:numId w:val="0"/>
            </w:numPr>
            <w:jc w:val="both"/>
          </w:pPr>
          <w:r w:rsidRPr="00E52ACB">
            <w:rPr>
              <w:color w:val="0072C6" w:themeColor="text2"/>
            </w:rPr>
            <w:t>Contents</w:t>
          </w:r>
          <w:bookmarkEnd w:id="3"/>
        </w:p>
        <w:p w:rsidR="001264F6" w:rsidRPr="00E52ACB" w:rsidRDefault="001264F6" w:rsidP="00815046">
          <w:pPr>
            <w:jc w:val="both"/>
            <w:rPr>
              <w:b/>
              <w:color w:val="0072C6" w:themeColor="text2"/>
              <w:sz w:val="32"/>
              <w:szCs w:val="32"/>
            </w:rPr>
          </w:pPr>
        </w:p>
        <w:p w:rsidR="00E3016F" w:rsidRDefault="00660C11">
          <w:pPr>
            <w:pStyle w:val="TOC1"/>
            <w:rPr>
              <w:rFonts w:asciiTheme="minorHAnsi" w:eastAsiaTheme="minorEastAsia" w:hAnsiTheme="minorHAnsi" w:cstheme="minorBidi"/>
              <w:bCs w:val="0"/>
              <w:noProof/>
              <w:sz w:val="22"/>
              <w:szCs w:val="22"/>
              <w:lang w:eastAsia="en-GB"/>
            </w:rPr>
          </w:pPr>
          <w:r>
            <w:fldChar w:fldCharType="begin"/>
          </w:r>
          <w:r w:rsidR="001264F6">
            <w:instrText xml:space="preserve"> TOC \o "1-3" \h \z \u </w:instrText>
          </w:r>
          <w:r>
            <w:fldChar w:fldCharType="separate"/>
          </w:r>
          <w:hyperlink w:anchor="_Toc531010355" w:history="1">
            <w:r w:rsidR="00E3016F" w:rsidRPr="00A70B87">
              <w:rPr>
                <w:rStyle w:val="Hyperlink"/>
                <w:noProof/>
              </w:rPr>
              <w:t>Contents</w:t>
            </w:r>
            <w:r w:rsidR="00E3016F">
              <w:rPr>
                <w:noProof/>
                <w:webHidden/>
              </w:rPr>
              <w:tab/>
            </w:r>
            <w:r w:rsidR="00E3016F">
              <w:rPr>
                <w:noProof/>
                <w:webHidden/>
              </w:rPr>
              <w:fldChar w:fldCharType="begin"/>
            </w:r>
            <w:r w:rsidR="00E3016F">
              <w:rPr>
                <w:noProof/>
                <w:webHidden/>
              </w:rPr>
              <w:instrText xml:space="preserve"> PAGEREF _Toc531010355 \h </w:instrText>
            </w:r>
            <w:r w:rsidR="00E3016F">
              <w:rPr>
                <w:noProof/>
                <w:webHidden/>
              </w:rPr>
            </w:r>
            <w:r w:rsidR="00E3016F">
              <w:rPr>
                <w:noProof/>
                <w:webHidden/>
              </w:rPr>
              <w:fldChar w:fldCharType="separate"/>
            </w:r>
            <w:r w:rsidR="00E3016F">
              <w:rPr>
                <w:noProof/>
                <w:webHidden/>
              </w:rPr>
              <w:t>3</w:t>
            </w:r>
            <w:r w:rsidR="00E3016F">
              <w:rPr>
                <w:noProof/>
                <w:webHidden/>
              </w:rPr>
              <w:fldChar w:fldCharType="end"/>
            </w:r>
          </w:hyperlink>
        </w:p>
        <w:p w:rsidR="00E3016F" w:rsidRDefault="00E97638">
          <w:pPr>
            <w:pStyle w:val="TOC1"/>
            <w:tabs>
              <w:tab w:val="left" w:pos="567"/>
            </w:tabs>
            <w:rPr>
              <w:rFonts w:asciiTheme="minorHAnsi" w:eastAsiaTheme="minorEastAsia" w:hAnsiTheme="minorHAnsi" w:cstheme="minorBidi"/>
              <w:bCs w:val="0"/>
              <w:noProof/>
              <w:sz w:val="22"/>
              <w:szCs w:val="22"/>
              <w:lang w:eastAsia="en-GB"/>
            </w:rPr>
          </w:pPr>
          <w:hyperlink w:anchor="_Toc531010356" w:history="1">
            <w:r w:rsidR="00E3016F" w:rsidRPr="00A70B87">
              <w:rPr>
                <w:rStyle w:val="Hyperlink"/>
                <w:noProof/>
              </w:rPr>
              <w:t>1</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Aim</w:t>
            </w:r>
            <w:r w:rsidR="00E3016F">
              <w:rPr>
                <w:noProof/>
                <w:webHidden/>
              </w:rPr>
              <w:tab/>
            </w:r>
            <w:r w:rsidR="00E3016F">
              <w:rPr>
                <w:noProof/>
                <w:webHidden/>
              </w:rPr>
              <w:fldChar w:fldCharType="begin"/>
            </w:r>
            <w:r w:rsidR="00E3016F">
              <w:rPr>
                <w:noProof/>
                <w:webHidden/>
              </w:rPr>
              <w:instrText xml:space="preserve"> PAGEREF _Toc531010356 \h </w:instrText>
            </w:r>
            <w:r w:rsidR="00E3016F">
              <w:rPr>
                <w:noProof/>
                <w:webHidden/>
              </w:rPr>
            </w:r>
            <w:r w:rsidR="00E3016F">
              <w:rPr>
                <w:noProof/>
                <w:webHidden/>
              </w:rPr>
              <w:fldChar w:fldCharType="separate"/>
            </w:r>
            <w:r w:rsidR="00E3016F">
              <w:rPr>
                <w:noProof/>
                <w:webHidden/>
              </w:rPr>
              <w:t>4</w:t>
            </w:r>
            <w:r w:rsidR="00E3016F">
              <w:rPr>
                <w:noProof/>
                <w:webHidden/>
              </w:rPr>
              <w:fldChar w:fldCharType="end"/>
            </w:r>
          </w:hyperlink>
        </w:p>
        <w:p w:rsidR="00E3016F" w:rsidRDefault="00E97638">
          <w:pPr>
            <w:pStyle w:val="TOC1"/>
            <w:tabs>
              <w:tab w:val="left" w:pos="567"/>
            </w:tabs>
            <w:rPr>
              <w:rFonts w:asciiTheme="minorHAnsi" w:eastAsiaTheme="minorEastAsia" w:hAnsiTheme="minorHAnsi" w:cstheme="minorBidi"/>
              <w:bCs w:val="0"/>
              <w:noProof/>
              <w:sz w:val="22"/>
              <w:szCs w:val="22"/>
              <w:lang w:eastAsia="en-GB"/>
            </w:rPr>
          </w:pPr>
          <w:hyperlink w:anchor="_Toc531010357" w:history="1">
            <w:r w:rsidR="00E3016F" w:rsidRPr="00A70B87">
              <w:rPr>
                <w:rStyle w:val="Hyperlink"/>
                <w:noProof/>
              </w:rPr>
              <w:t>2</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Roles and responsibilities</w:t>
            </w:r>
            <w:r w:rsidR="00E3016F">
              <w:rPr>
                <w:noProof/>
                <w:webHidden/>
              </w:rPr>
              <w:tab/>
            </w:r>
            <w:r w:rsidR="00E3016F">
              <w:rPr>
                <w:noProof/>
                <w:webHidden/>
              </w:rPr>
              <w:fldChar w:fldCharType="begin"/>
            </w:r>
            <w:r w:rsidR="00E3016F">
              <w:rPr>
                <w:noProof/>
                <w:webHidden/>
              </w:rPr>
              <w:instrText xml:space="preserve"> PAGEREF _Toc531010357 \h </w:instrText>
            </w:r>
            <w:r w:rsidR="00E3016F">
              <w:rPr>
                <w:noProof/>
                <w:webHidden/>
              </w:rPr>
            </w:r>
            <w:r w:rsidR="00E3016F">
              <w:rPr>
                <w:noProof/>
                <w:webHidden/>
              </w:rPr>
              <w:fldChar w:fldCharType="separate"/>
            </w:r>
            <w:r w:rsidR="00E3016F">
              <w:rPr>
                <w:noProof/>
                <w:webHidden/>
              </w:rPr>
              <w:t>4</w:t>
            </w:r>
            <w:r w:rsidR="00E3016F">
              <w:rPr>
                <w:noProof/>
                <w:webHidden/>
              </w:rPr>
              <w:fldChar w:fldCharType="end"/>
            </w:r>
          </w:hyperlink>
        </w:p>
        <w:p w:rsidR="00E3016F" w:rsidRDefault="00E97638">
          <w:pPr>
            <w:pStyle w:val="TOC1"/>
            <w:tabs>
              <w:tab w:val="left" w:pos="567"/>
            </w:tabs>
            <w:rPr>
              <w:rFonts w:asciiTheme="minorHAnsi" w:eastAsiaTheme="minorEastAsia" w:hAnsiTheme="minorHAnsi" w:cstheme="minorBidi"/>
              <w:bCs w:val="0"/>
              <w:noProof/>
              <w:sz w:val="22"/>
              <w:szCs w:val="22"/>
              <w:lang w:eastAsia="en-GB"/>
            </w:rPr>
          </w:pPr>
          <w:hyperlink w:anchor="_Toc531010358" w:history="1">
            <w:r w:rsidR="00E3016F" w:rsidRPr="00A70B87">
              <w:rPr>
                <w:rStyle w:val="Hyperlink"/>
                <w:noProof/>
              </w:rPr>
              <w:t>3</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Headlines for London</w:t>
            </w:r>
            <w:r w:rsidR="00E3016F">
              <w:rPr>
                <w:noProof/>
                <w:webHidden/>
              </w:rPr>
              <w:tab/>
            </w:r>
            <w:r w:rsidR="00E3016F">
              <w:rPr>
                <w:noProof/>
                <w:webHidden/>
              </w:rPr>
              <w:fldChar w:fldCharType="begin"/>
            </w:r>
            <w:r w:rsidR="00E3016F">
              <w:rPr>
                <w:noProof/>
                <w:webHidden/>
              </w:rPr>
              <w:instrText xml:space="preserve"> PAGEREF _Toc531010358 \h </w:instrText>
            </w:r>
            <w:r w:rsidR="00E3016F">
              <w:rPr>
                <w:noProof/>
                <w:webHidden/>
              </w:rPr>
            </w:r>
            <w:r w:rsidR="00E3016F">
              <w:rPr>
                <w:noProof/>
                <w:webHidden/>
              </w:rPr>
              <w:fldChar w:fldCharType="separate"/>
            </w:r>
            <w:r w:rsidR="00E3016F">
              <w:rPr>
                <w:noProof/>
                <w:webHidden/>
              </w:rPr>
              <w:t>5</w:t>
            </w:r>
            <w:r w:rsidR="00E3016F">
              <w:rPr>
                <w:noProof/>
                <w:webHidden/>
              </w:rPr>
              <w:fldChar w:fldCharType="end"/>
            </w:r>
          </w:hyperlink>
        </w:p>
        <w:p w:rsidR="00E3016F" w:rsidRDefault="00E97638">
          <w:pPr>
            <w:pStyle w:val="TOC1"/>
            <w:tabs>
              <w:tab w:val="left" w:pos="567"/>
            </w:tabs>
            <w:rPr>
              <w:rFonts w:asciiTheme="minorHAnsi" w:eastAsiaTheme="minorEastAsia" w:hAnsiTheme="minorHAnsi" w:cstheme="minorBidi"/>
              <w:bCs w:val="0"/>
              <w:noProof/>
              <w:sz w:val="22"/>
              <w:szCs w:val="22"/>
              <w:lang w:eastAsia="en-GB"/>
            </w:rPr>
          </w:pPr>
          <w:hyperlink w:anchor="_Toc531010359" w:history="1">
            <w:r w:rsidR="00E3016F" w:rsidRPr="00A70B87">
              <w:rPr>
                <w:rStyle w:val="Hyperlink"/>
                <w:noProof/>
              </w:rPr>
              <w:t>4</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Routine Childhood Immunisation Programme (0-5 years)</w:t>
            </w:r>
            <w:r w:rsidR="00E3016F">
              <w:rPr>
                <w:noProof/>
                <w:webHidden/>
              </w:rPr>
              <w:tab/>
            </w:r>
            <w:r w:rsidR="00E3016F">
              <w:rPr>
                <w:noProof/>
                <w:webHidden/>
              </w:rPr>
              <w:fldChar w:fldCharType="begin"/>
            </w:r>
            <w:r w:rsidR="00E3016F">
              <w:rPr>
                <w:noProof/>
                <w:webHidden/>
              </w:rPr>
              <w:instrText xml:space="preserve"> PAGEREF _Toc531010359 \h </w:instrText>
            </w:r>
            <w:r w:rsidR="00E3016F">
              <w:rPr>
                <w:noProof/>
                <w:webHidden/>
              </w:rPr>
            </w:r>
            <w:r w:rsidR="00E3016F">
              <w:rPr>
                <w:noProof/>
                <w:webHidden/>
              </w:rPr>
              <w:fldChar w:fldCharType="separate"/>
            </w:r>
            <w:r w:rsidR="00E3016F">
              <w:rPr>
                <w:noProof/>
                <w:webHidden/>
              </w:rPr>
              <w:t>6</w:t>
            </w:r>
            <w:r w:rsidR="00E3016F">
              <w:rPr>
                <w:noProof/>
                <w:webHidden/>
              </w:rPr>
              <w:fldChar w:fldCharType="end"/>
            </w:r>
          </w:hyperlink>
        </w:p>
        <w:p w:rsidR="00E3016F" w:rsidRDefault="00E97638">
          <w:pPr>
            <w:pStyle w:val="TOC2"/>
            <w:rPr>
              <w:rFonts w:asciiTheme="minorHAnsi" w:eastAsiaTheme="minorEastAsia" w:hAnsiTheme="minorHAnsi" w:cstheme="minorBidi"/>
              <w:bCs w:val="0"/>
              <w:noProof/>
              <w:sz w:val="22"/>
              <w:szCs w:val="22"/>
              <w:lang w:eastAsia="en-GB"/>
            </w:rPr>
          </w:pPr>
          <w:hyperlink w:anchor="_Toc531010360" w:history="1">
            <w:r w:rsidR="00E3016F" w:rsidRPr="00A70B87">
              <w:rPr>
                <w:rStyle w:val="Hyperlink"/>
                <w:noProof/>
              </w:rPr>
              <w:t>4.1</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The routine schedule for 0-5s</w:t>
            </w:r>
            <w:r w:rsidR="00E3016F">
              <w:rPr>
                <w:noProof/>
                <w:webHidden/>
              </w:rPr>
              <w:tab/>
            </w:r>
            <w:r w:rsidR="00E3016F">
              <w:rPr>
                <w:noProof/>
                <w:webHidden/>
              </w:rPr>
              <w:fldChar w:fldCharType="begin"/>
            </w:r>
            <w:r w:rsidR="00E3016F">
              <w:rPr>
                <w:noProof/>
                <w:webHidden/>
              </w:rPr>
              <w:instrText xml:space="preserve"> PAGEREF _Toc531010360 \h </w:instrText>
            </w:r>
            <w:r w:rsidR="00E3016F">
              <w:rPr>
                <w:noProof/>
                <w:webHidden/>
              </w:rPr>
            </w:r>
            <w:r w:rsidR="00E3016F">
              <w:rPr>
                <w:noProof/>
                <w:webHidden/>
              </w:rPr>
              <w:fldChar w:fldCharType="separate"/>
            </w:r>
            <w:r w:rsidR="00E3016F">
              <w:rPr>
                <w:noProof/>
                <w:webHidden/>
              </w:rPr>
              <w:t>6</w:t>
            </w:r>
            <w:r w:rsidR="00E3016F">
              <w:rPr>
                <w:noProof/>
                <w:webHidden/>
              </w:rPr>
              <w:fldChar w:fldCharType="end"/>
            </w:r>
          </w:hyperlink>
        </w:p>
        <w:p w:rsidR="00E3016F" w:rsidRDefault="00E97638">
          <w:pPr>
            <w:pStyle w:val="TOC2"/>
            <w:rPr>
              <w:rFonts w:asciiTheme="minorHAnsi" w:eastAsiaTheme="minorEastAsia" w:hAnsiTheme="minorHAnsi" w:cstheme="minorBidi"/>
              <w:bCs w:val="0"/>
              <w:noProof/>
              <w:sz w:val="22"/>
              <w:szCs w:val="22"/>
              <w:lang w:eastAsia="en-GB"/>
            </w:rPr>
          </w:pPr>
          <w:hyperlink w:anchor="_Toc531010361" w:history="1">
            <w:r w:rsidR="00E3016F" w:rsidRPr="00A70B87">
              <w:rPr>
                <w:rStyle w:val="Hyperlink"/>
                <w:noProof/>
              </w:rPr>
              <w:t>4.2</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Harrow and the challenges</w:t>
            </w:r>
            <w:r w:rsidR="00E3016F">
              <w:rPr>
                <w:noProof/>
                <w:webHidden/>
              </w:rPr>
              <w:tab/>
            </w:r>
            <w:r w:rsidR="00E3016F">
              <w:rPr>
                <w:noProof/>
                <w:webHidden/>
              </w:rPr>
              <w:fldChar w:fldCharType="begin"/>
            </w:r>
            <w:r w:rsidR="00E3016F">
              <w:rPr>
                <w:noProof/>
                <w:webHidden/>
              </w:rPr>
              <w:instrText xml:space="preserve"> PAGEREF _Toc531010361 \h </w:instrText>
            </w:r>
            <w:r w:rsidR="00E3016F">
              <w:rPr>
                <w:noProof/>
                <w:webHidden/>
              </w:rPr>
            </w:r>
            <w:r w:rsidR="00E3016F">
              <w:rPr>
                <w:noProof/>
                <w:webHidden/>
              </w:rPr>
              <w:fldChar w:fldCharType="separate"/>
            </w:r>
            <w:r w:rsidR="00E3016F">
              <w:rPr>
                <w:noProof/>
                <w:webHidden/>
              </w:rPr>
              <w:t>6</w:t>
            </w:r>
            <w:r w:rsidR="00E3016F">
              <w:rPr>
                <w:noProof/>
                <w:webHidden/>
              </w:rPr>
              <w:fldChar w:fldCharType="end"/>
            </w:r>
          </w:hyperlink>
        </w:p>
        <w:p w:rsidR="00E3016F" w:rsidRDefault="00E97638">
          <w:pPr>
            <w:pStyle w:val="TOC2"/>
            <w:rPr>
              <w:rFonts w:asciiTheme="minorHAnsi" w:eastAsiaTheme="minorEastAsia" w:hAnsiTheme="minorHAnsi" w:cstheme="minorBidi"/>
              <w:bCs w:val="0"/>
              <w:noProof/>
              <w:sz w:val="22"/>
              <w:szCs w:val="22"/>
              <w:lang w:eastAsia="en-GB"/>
            </w:rPr>
          </w:pPr>
          <w:hyperlink w:anchor="_Toc531010362" w:history="1">
            <w:r w:rsidR="00E3016F" w:rsidRPr="00A70B87">
              <w:rPr>
                <w:rStyle w:val="Hyperlink"/>
                <w:noProof/>
              </w:rPr>
              <w:t>4.3</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Harrow’s uptake and coverage rates</w:t>
            </w:r>
            <w:r w:rsidR="00E3016F">
              <w:rPr>
                <w:noProof/>
                <w:webHidden/>
              </w:rPr>
              <w:tab/>
            </w:r>
            <w:r w:rsidR="00E3016F">
              <w:rPr>
                <w:noProof/>
                <w:webHidden/>
              </w:rPr>
              <w:fldChar w:fldCharType="begin"/>
            </w:r>
            <w:r w:rsidR="00E3016F">
              <w:rPr>
                <w:noProof/>
                <w:webHidden/>
              </w:rPr>
              <w:instrText xml:space="preserve"> PAGEREF _Toc531010362 \h </w:instrText>
            </w:r>
            <w:r w:rsidR="00E3016F">
              <w:rPr>
                <w:noProof/>
                <w:webHidden/>
              </w:rPr>
            </w:r>
            <w:r w:rsidR="00E3016F">
              <w:rPr>
                <w:noProof/>
                <w:webHidden/>
              </w:rPr>
              <w:fldChar w:fldCharType="separate"/>
            </w:r>
            <w:r w:rsidR="00E3016F">
              <w:rPr>
                <w:noProof/>
                <w:webHidden/>
              </w:rPr>
              <w:t>7</w:t>
            </w:r>
            <w:r w:rsidR="00E3016F">
              <w:rPr>
                <w:noProof/>
                <w:webHidden/>
              </w:rPr>
              <w:fldChar w:fldCharType="end"/>
            </w:r>
          </w:hyperlink>
        </w:p>
        <w:p w:rsidR="00E3016F" w:rsidRDefault="00E97638">
          <w:pPr>
            <w:pStyle w:val="TOC2"/>
            <w:rPr>
              <w:rFonts w:asciiTheme="minorHAnsi" w:eastAsiaTheme="minorEastAsia" w:hAnsiTheme="minorHAnsi" w:cstheme="minorBidi"/>
              <w:bCs w:val="0"/>
              <w:noProof/>
              <w:sz w:val="22"/>
              <w:szCs w:val="22"/>
              <w:lang w:eastAsia="en-GB"/>
            </w:rPr>
          </w:pPr>
          <w:hyperlink w:anchor="_Toc531010363" w:history="1">
            <w:r w:rsidR="00E3016F" w:rsidRPr="00A70B87">
              <w:rPr>
                <w:rStyle w:val="Hyperlink"/>
                <w:rFonts w:cs="Arial"/>
                <w:noProof/>
              </w:rPr>
              <w:t>4.4</w:t>
            </w:r>
            <w:r w:rsidR="00E3016F">
              <w:rPr>
                <w:rFonts w:asciiTheme="minorHAnsi" w:eastAsiaTheme="minorEastAsia" w:hAnsiTheme="minorHAnsi" w:cstheme="minorBidi"/>
                <w:bCs w:val="0"/>
                <w:noProof/>
                <w:sz w:val="22"/>
                <w:szCs w:val="22"/>
                <w:lang w:eastAsia="en-GB"/>
              </w:rPr>
              <w:tab/>
            </w:r>
            <w:r w:rsidR="00E3016F" w:rsidRPr="00A70B87">
              <w:rPr>
                <w:rStyle w:val="Hyperlink"/>
                <w:rFonts w:cs="Arial"/>
                <w:noProof/>
              </w:rPr>
              <w:t>Rotavirus</w:t>
            </w:r>
            <w:r w:rsidR="00E3016F">
              <w:rPr>
                <w:noProof/>
                <w:webHidden/>
              </w:rPr>
              <w:tab/>
            </w:r>
            <w:r w:rsidR="00E3016F">
              <w:rPr>
                <w:noProof/>
                <w:webHidden/>
              </w:rPr>
              <w:fldChar w:fldCharType="begin"/>
            </w:r>
            <w:r w:rsidR="00E3016F">
              <w:rPr>
                <w:noProof/>
                <w:webHidden/>
              </w:rPr>
              <w:instrText xml:space="preserve"> PAGEREF _Toc531010363 \h </w:instrText>
            </w:r>
            <w:r w:rsidR="00E3016F">
              <w:rPr>
                <w:noProof/>
                <w:webHidden/>
              </w:rPr>
            </w:r>
            <w:r w:rsidR="00E3016F">
              <w:rPr>
                <w:noProof/>
                <w:webHidden/>
              </w:rPr>
              <w:fldChar w:fldCharType="separate"/>
            </w:r>
            <w:r w:rsidR="00E3016F">
              <w:rPr>
                <w:noProof/>
                <w:webHidden/>
              </w:rPr>
              <w:t>13</w:t>
            </w:r>
            <w:r w:rsidR="00E3016F">
              <w:rPr>
                <w:noProof/>
                <w:webHidden/>
              </w:rPr>
              <w:fldChar w:fldCharType="end"/>
            </w:r>
          </w:hyperlink>
        </w:p>
        <w:p w:rsidR="00E3016F" w:rsidRDefault="00E97638">
          <w:pPr>
            <w:pStyle w:val="TOC2"/>
            <w:rPr>
              <w:rFonts w:asciiTheme="minorHAnsi" w:eastAsiaTheme="minorEastAsia" w:hAnsiTheme="minorHAnsi" w:cstheme="minorBidi"/>
              <w:bCs w:val="0"/>
              <w:noProof/>
              <w:sz w:val="22"/>
              <w:szCs w:val="22"/>
              <w:lang w:eastAsia="en-GB"/>
            </w:rPr>
          </w:pPr>
          <w:hyperlink w:anchor="_Toc531010364" w:history="1">
            <w:r w:rsidR="00E3016F" w:rsidRPr="00A70B87">
              <w:rPr>
                <w:rStyle w:val="Hyperlink"/>
                <w:rFonts w:cs="Arial"/>
                <w:noProof/>
              </w:rPr>
              <w:t>4.5</w:t>
            </w:r>
            <w:r w:rsidR="00E3016F">
              <w:rPr>
                <w:rFonts w:asciiTheme="minorHAnsi" w:eastAsiaTheme="minorEastAsia" w:hAnsiTheme="minorHAnsi" w:cstheme="minorBidi"/>
                <w:bCs w:val="0"/>
                <w:noProof/>
                <w:sz w:val="22"/>
                <w:szCs w:val="22"/>
                <w:lang w:eastAsia="en-GB"/>
              </w:rPr>
              <w:tab/>
            </w:r>
            <w:r w:rsidR="00E3016F" w:rsidRPr="00A70B87">
              <w:rPr>
                <w:rStyle w:val="Hyperlink"/>
                <w:rFonts w:cs="Arial"/>
                <w:noProof/>
              </w:rPr>
              <w:t>Meningococcal B vaccination</w:t>
            </w:r>
            <w:r w:rsidR="00E3016F">
              <w:rPr>
                <w:noProof/>
                <w:webHidden/>
              </w:rPr>
              <w:tab/>
            </w:r>
            <w:r w:rsidR="00E3016F">
              <w:rPr>
                <w:noProof/>
                <w:webHidden/>
              </w:rPr>
              <w:fldChar w:fldCharType="begin"/>
            </w:r>
            <w:r w:rsidR="00E3016F">
              <w:rPr>
                <w:noProof/>
                <w:webHidden/>
              </w:rPr>
              <w:instrText xml:space="preserve"> PAGEREF _Toc531010364 \h </w:instrText>
            </w:r>
            <w:r w:rsidR="00E3016F">
              <w:rPr>
                <w:noProof/>
                <w:webHidden/>
              </w:rPr>
            </w:r>
            <w:r w:rsidR="00E3016F">
              <w:rPr>
                <w:noProof/>
                <w:webHidden/>
              </w:rPr>
              <w:fldChar w:fldCharType="separate"/>
            </w:r>
            <w:r w:rsidR="00E3016F">
              <w:rPr>
                <w:noProof/>
                <w:webHidden/>
              </w:rPr>
              <w:t>15</w:t>
            </w:r>
            <w:r w:rsidR="00E3016F">
              <w:rPr>
                <w:noProof/>
                <w:webHidden/>
              </w:rPr>
              <w:fldChar w:fldCharType="end"/>
            </w:r>
          </w:hyperlink>
        </w:p>
        <w:p w:rsidR="00E3016F" w:rsidRDefault="00E97638">
          <w:pPr>
            <w:pStyle w:val="TOC2"/>
            <w:rPr>
              <w:rFonts w:asciiTheme="minorHAnsi" w:eastAsiaTheme="minorEastAsia" w:hAnsiTheme="minorHAnsi" w:cstheme="minorBidi"/>
              <w:bCs w:val="0"/>
              <w:noProof/>
              <w:sz w:val="22"/>
              <w:szCs w:val="22"/>
              <w:lang w:eastAsia="en-GB"/>
            </w:rPr>
          </w:pPr>
          <w:hyperlink w:anchor="_Toc531010365" w:history="1">
            <w:r w:rsidR="00E3016F" w:rsidRPr="00A70B87">
              <w:rPr>
                <w:rStyle w:val="Hyperlink"/>
                <w:noProof/>
              </w:rPr>
              <w:t>4.6</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Child ‘flu vaccination</w:t>
            </w:r>
            <w:r w:rsidR="00E3016F">
              <w:rPr>
                <w:noProof/>
                <w:webHidden/>
              </w:rPr>
              <w:tab/>
            </w:r>
            <w:r w:rsidR="00E3016F">
              <w:rPr>
                <w:noProof/>
                <w:webHidden/>
              </w:rPr>
              <w:fldChar w:fldCharType="begin"/>
            </w:r>
            <w:r w:rsidR="00E3016F">
              <w:rPr>
                <w:noProof/>
                <w:webHidden/>
              </w:rPr>
              <w:instrText xml:space="preserve"> PAGEREF _Toc531010365 \h </w:instrText>
            </w:r>
            <w:r w:rsidR="00E3016F">
              <w:rPr>
                <w:noProof/>
                <w:webHidden/>
              </w:rPr>
            </w:r>
            <w:r w:rsidR="00E3016F">
              <w:rPr>
                <w:noProof/>
                <w:webHidden/>
              </w:rPr>
              <w:fldChar w:fldCharType="separate"/>
            </w:r>
            <w:r w:rsidR="00E3016F">
              <w:rPr>
                <w:noProof/>
                <w:webHidden/>
              </w:rPr>
              <w:t>16</w:t>
            </w:r>
            <w:r w:rsidR="00E3016F">
              <w:rPr>
                <w:noProof/>
                <w:webHidden/>
              </w:rPr>
              <w:fldChar w:fldCharType="end"/>
            </w:r>
          </w:hyperlink>
        </w:p>
        <w:p w:rsidR="00E3016F" w:rsidRDefault="00E97638">
          <w:pPr>
            <w:pStyle w:val="TOC2"/>
            <w:rPr>
              <w:rFonts w:asciiTheme="minorHAnsi" w:eastAsiaTheme="minorEastAsia" w:hAnsiTheme="minorHAnsi" w:cstheme="minorBidi"/>
              <w:bCs w:val="0"/>
              <w:noProof/>
              <w:sz w:val="22"/>
              <w:szCs w:val="22"/>
              <w:lang w:eastAsia="en-GB"/>
            </w:rPr>
          </w:pPr>
          <w:hyperlink w:anchor="_Toc531010366" w:history="1">
            <w:r w:rsidR="00E3016F" w:rsidRPr="00A70B87">
              <w:rPr>
                <w:rStyle w:val="Hyperlink"/>
                <w:noProof/>
              </w:rPr>
              <w:t>4.7</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What are we doing to increase uptake of COVER?</w:t>
            </w:r>
            <w:r w:rsidR="00E3016F">
              <w:rPr>
                <w:noProof/>
                <w:webHidden/>
              </w:rPr>
              <w:tab/>
            </w:r>
            <w:r w:rsidR="00E3016F">
              <w:rPr>
                <w:noProof/>
                <w:webHidden/>
              </w:rPr>
              <w:fldChar w:fldCharType="begin"/>
            </w:r>
            <w:r w:rsidR="00E3016F">
              <w:rPr>
                <w:noProof/>
                <w:webHidden/>
              </w:rPr>
              <w:instrText xml:space="preserve"> PAGEREF _Toc531010366 \h </w:instrText>
            </w:r>
            <w:r w:rsidR="00E3016F">
              <w:rPr>
                <w:noProof/>
                <w:webHidden/>
              </w:rPr>
            </w:r>
            <w:r w:rsidR="00E3016F">
              <w:rPr>
                <w:noProof/>
                <w:webHidden/>
              </w:rPr>
              <w:fldChar w:fldCharType="separate"/>
            </w:r>
            <w:r w:rsidR="00E3016F">
              <w:rPr>
                <w:noProof/>
                <w:webHidden/>
              </w:rPr>
              <w:t>17</w:t>
            </w:r>
            <w:r w:rsidR="00E3016F">
              <w:rPr>
                <w:noProof/>
                <w:webHidden/>
              </w:rPr>
              <w:fldChar w:fldCharType="end"/>
            </w:r>
          </w:hyperlink>
        </w:p>
        <w:p w:rsidR="00E3016F" w:rsidRDefault="00E97638">
          <w:pPr>
            <w:pStyle w:val="TOC1"/>
            <w:tabs>
              <w:tab w:val="left" w:pos="567"/>
            </w:tabs>
            <w:rPr>
              <w:rFonts w:asciiTheme="minorHAnsi" w:eastAsiaTheme="minorEastAsia" w:hAnsiTheme="minorHAnsi" w:cstheme="minorBidi"/>
              <w:bCs w:val="0"/>
              <w:noProof/>
              <w:sz w:val="22"/>
              <w:szCs w:val="22"/>
              <w:lang w:eastAsia="en-GB"/>
            </w:rPr>
          </w:pPr>
          <w:hyperlink w:anchor="_Toc531010367" w:history="1">
            <w:r w:rsidR="00E3016F" w:rsidRPr="00A70B87">
              <w:rPr>
                <w:rStyle w:val="Hyperlink"/>
                <w:noProof/>
              </w:rPr>
              <w:t>5</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School Age Vaccinations</w:t>
            </w:r>
            <w:r w:rsidR="00E3016F">
              <w:rPr>
                <w:noProof/>
                <w:webHidden/>
              </w:rPr>
              <w:tab/>
            </w:r>
            <w:r w:rsidR="00E3016F">
              <w:rPr>
                <w:noProof/>
                <w:webHidden/>
              </w:rPr>
              <w:fldChar w:fldCharType="begin"/>
            </w:r>
            <w:r w:rsidR="00E3016F">
              <w:rPr>
                <w:noProof/>
                <w:webHidden/>
              </w:rPr>
              <w:instrText xml:space="preserve"> PAGEREF _Toc531010367 \h </w:instrText>
            </w:r>
            <w:r w:rsidR="00E3016F">
              <w:rPr>
                <w:noProof/>
                <w:webHidden/>
              </w:rPr>
            </w:r>
            <w:r w:rsidR="00E3016F">
              <w:rPr>
                <w:noProof/>
                <w:webHidden/>
              </w:rPr>
              <w:fldChar w:fldCharType="separate"/>
            </w:r>
            <w:r w:rsidR="00E3016F">
              <w:rPr>
                <w:noProof/>
                <w:webHidden/>
              </w:rPr>
              <w:t>19</w:t>
            </w:r>
            <w:r w:rsidR="00E3016F">
              <w:rPr>
                <w:noProof/>
                <w:webHidden/>
              </w:rPr>
              <w:fldChar w:fldCharType="end"/>
            </w:r>
          </w:hyperlink>
        </w:p>
        <w:p w:rsidR="00E3016F" w:rsidRDefault="00E97638">
          <w:pPr>
            <w:pStyle w:val="TOC2"/>
            <w:rPr>
              <w:rFonts w:asciiTheme="minorHAnsi" w:eastAsiaTheme="minorEastAsia" w:hAnsiTheme="minorHAnsi" w:cstheme="minorBidi"/>
              <w:bCs w:val="0"/>
              <w:noProof/>
              <w:sz w:val="22"/>
              <w:szCs w:val="22"/>
              <w:lang w:eastAsia="en-GB"/>
            </w:rPr>
          </w:pPr>
          <w:hyperlink w:anchor="_Toc531010368" w:history="1">
            <w:r w:rsidR="00E3016F" w:rsidRPr="00A70B87">
              <w:rPr>
                <w:rStyle w:val="Hyperlink"/>
                <w:noProof/>
              </w:rPr>
              <w:t>5.1</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HPV vaccination</w:t>
            </w:r>
            <w:r w:rsidR="00E3016F">
              <w:rPr>
                <w:noProof/>
                <w:webHidden/>
              </w:rPr>
              <w:tab/>
            </w:r>
            <w:r w:rsidR="00E3016F">
              <w:rPr>
                <w:noProof/>
                <w:webHidden/>
              </w:rPr>
              <w:fldChar w:fldCharType="begin"/>
            </w:r>
            <w:r w:rsidR="00E3016F">
              <w:rPr>
                <w:noProof/>
                <w:webHidden/>
              </w:rPr>
              <w:instrText xml:space="preserve"> PAGEREF _Toc531010368 \h </w:instrText>
            </w:r>
            <w:r w:rsidR="00E3016F">
              <w:rPr>
                <w:noProof/>
                <w:webHidden/>
              </w:rPr>
            </w:r>
            <w:r w:rsidR="00E3016F">
              <w:rPr>
                <w:noProof/>
                <w:webHidden/>
              </w:rPr>
              <w:fldChar w:fldCharType="separate"/>
            </w:r>
            <w:r w:rsidR="00E3016F">
              <w:rPr>
                <w:noProof/>
                <w:webHidden/>
              </w:rPr>
              <w:t>19</w:t>
            </w:r>
            <w:r w:rsidR="00E3016F">
              <w:rPr>
                <w:noProof/>
                <w:webHidden/>
              </w:rPr>
              <w:fldChar w:fldCharType="end"/>
            </w:r>
          </w:hyperlink>
        </w:p>
        <w:p w:rsidR="00E3016F" w:rsidRDefault="00E97638">
          <w:pPr>
            <w:pStyle w:val="TOC2"/>
            <w:rPr>
              <w:rFonts w:asciiTheme="minorHAnsi" w:eastAsiaTheme="minorEastAsia" w:hAnsiTheme="minorHAnsi" w:cstheme="minorBidi"/>
              <w:bCs w:val="0"/>
              <w:noProof/>
              <w:sz w:val="22"/>
              <w:szCs w:val="22"/>
              <w:lang w:eastAsia="en-GB"/>
            </w:rPr>
          </w:pPr>
          <w:hyperlink w:anchor="_Toc531010369" w:history="1">
            <w:r w:rsidR="00E3016F" w:rsidRPr="00A70B87">
              <w:rPr>
                <w:rStyle w:val="Hyperlink"/>
                <w:noProof/>
              </w:rPr>
              <w:t>5.2</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Men ACWY</w:t>
            </w:r>
            <w:r w:rsidR="00E3016F">
              <w:rPr>
                <w:noProof/>
                <w:webHidden/>
              </w:rPr>
              <w:tab/>
            </w:r>
            <w:r w:rsidR="00E3016F">
              <w:rPr>
                <w:noProof/>
                <w:webHidden/>
              </w:rPr>
              <w:fldChar w:fldCharType="begin"/>
            </w:r>
            <w:r w:rsidR="00E3016F">
              <w:rPr>
                <w:noProof/>
                <w:webHidden/>
              </w:rPr>
              <w:instrText xml:space="preserve"> PAGEREF _Toc531010369 \h </w:instrText>
            </w:r>
            <w:r w:rsidR="00E3016F">
              <w:rPr>
                <w:noProof/>
                <w:webHidden/>
              </w:rPr>
            </w:r>
            <w:r w:rsidR="00E3016F">
              <w:rPr>
                <w:noProof/>
                <w:webHidden/>
              </w:rPr>
              <w:fldChar w:fldCharType="separate"/>
            </w:r>
            <w:r w:rsidR="00E3016F">
              <w:rPr>
                <w:noProof/>
                <w:webHidden/>
              </w:rPr>
              <w:t>21</w:t>
            </w:r>
            <w:r w:rsidR="00E3016F">
              <w:rPr>
                <w:noProof/>
                <w:webHidden/>
              </w:rPr>
              <w:fldChar w:fldCharType="end"/>
            </w:r>
          </w:hyperlink>
        </w:p>
        <w:p w:rsidR="00E3016F" w:rsidRDefault="00E97638">
          <w:pPr>
            <w:pStyle w:val="TOC2"/>
            <w:rPr>
              <w:rFonts w:asciiTheme="minorHAnsi" w:eastAsiaTheme="minorEastAsia" w:hAnsiTheme="minorHAnsi" w:cstheme="minorBidi"/>
              <w:bCs w:val="0"/>
              <w:noProof/>
              <w:sz w:val="22"/>
              <w:szCs w:val="22"/>
              <w:lang w:eastAsia="en-GB"/>
            </w:rPr>
          </w:pPr>
          <w:hyperlink w:anchor="_Toc531010370" w:history="1">
            <w:r w:rsidR="00E3016F" w:rsidRPr="00A70B87">
              <w:rPr>
                <w:rStyle w:val="Hyperlink"/>
                <w:noProof/>
              </w:rPr>
              <w:t>5.3</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Td/IPV</w:t>
            </w:r>
            <w:r w:rsidR="00E3016F">
              <w:rPr>
                <w:noProof/>
                <w:webHidden/>
              </w:rPr>
              <w:tab/>
            </w:r>
            <w:r w:rsidR="00E3016F">
              <w:rPr>
                <w:noProof/>
                <w:webHidden/>
              </w:rPr>
              <w:fldChar w:fldCharType="begin"/>
            </w:r>
            <w:r w:rsidR="00E3016F">
              <w:rPr>
                <w:noProof/>
                <w:webHidden/>
              </w:rPr>
              <w:instrText xml:space="preserve"> PAGEREF _Toc531010370 \h </w:instrText>
            </w:r>
            <w:r w:rsidR="00E3016F">
              <w:rPr>
                <w:noProof/>
                <w:webHidden/>
              </w:rPr>
            </w:r>
            <w:r w:rsidR="00E3016F">
              <w:rPr>
                <w:noProof/>
                <w:webHidden/>
              </w:rPr>
              <w:fldChar w:fldCharType="separate"/>
            </w:r>
            <w:r w:rsidR="00E3016F">
              <w:rPr>
                <w:noProof/>
                <w:webHidden/>
              </w:rPr>
              <w:t>22</w:t>
            </w:r>
            <w:r w:rsidR="00E3016F">
              <w:rPr>
                <w:noProof/>
                <w:webHidden/>
              </w:rPr>
              <w:fldChar w:fldCharType="end"/>
            </w:r>
          </w:hyperlink>
        </w:p>
        <w:p w:rsidR="00E3016F" w:rsidRDefault="00E97638">
          <w:pPr>
            <w:pStyle w:val="TOC2"/>
            <w:rPr>
              <w:rFonts w:asciiTheme="minorHAnsi" w:eastAsiaTheme="minorEastAsia" w:hAnsiTheme="minorHAnsi" w:cstheme="minorBidi"/>
              <w:bCs w:val="0"/>
              <w:noProof/>
              <w:sz w:val="22"/>
              <w:szCs w:val="22"/>
              <w:lang w:eastAsia="en-GB"/>
            </w:rPr>
          </w:pPr>
          <w:hyperlink w:anchor="_Toc531010371" w:history="1">
            <w:r w:rsidR="00E3016F" w:rsidRPr="00A70B87">
              <w:rPr>
                <w:rStyle w:val="Hyperlink"/>
                <w:noProof/>
              </w:rPr>
              <w:t>5.4</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What are we doing to improve uptake in Harrow?</w:t>
            </w:r>
            <w:r w:rsidR="00E3016F">
              <w:rPr>
                <w:noProof/>
                <w:webHidden/>
              </w:rPr>
              <w:tab/>
            </w:r>
            <w:r w:rsidR="00E3016F">
              <w:rPr>
                <w:noProof/>
                <w:webHidden/>
              </w:rPr>
              <w:fldChar w:fldCharType="begin"/>
            </w:r>
            <w:r w:rsidR="00E3016F">
              <w:rPr>
                <w:noProof/>
                <w:webHidden/>
              </w:rPr>
              <w:instrText xml:space="preserve"> PAGEREF _Toc531010371 \h </w:instrText>
            </w:r>
            <w:r w:rsidR="00E3016F">
              <w:rPr>
                <w:noProof/>
                <w:webHidden/>
              </w:rPr>
            </w:r>
            <w:r w:rsidR="00E3016F">
              <w:rPr>
                <w:noProof/>
                <w:webHidden/>
              </w:rPr>
              <w:fldChar w:fldCharType="separate"/>
            </w:r>
            <w:r w:rsidR="00E3016F">
              <w:rPr>
                <w:noProof/>
                <w:webHidden/>
              </w:rPr>
              <w:t>23</w:t>
            </w:r>
            <w:r w:rsidR="00E3016F">
              <w:rPr>
                <w:noProof/>
                <w:webHidden/>
              </w:rPr>
              <w:fldChar w:fldCharType="end"/>
            </w:r>
          </w:hyperlink>
        </w:p>
        <w:p w:rsidR="00E3016F" w:rsidRDefault="00E97638">
          <w:pPr>
            <w:pStyle w:val="TOC1"/>
            <w:tabs>
              <w:tab w:val="left" w:pos="567"/>
            </w:tabs>
            <w:rPr>
              <w:rFonts w:asciiTheme="minorHAnsi" w:eastAsiaTheme="minorEastAsia" w:hAnsiTheme="minorHAnsi" w:cstheme="minorBidi"/>
              <w:bCs w:val="0"/>
              <w:noProof/>
              <w:sz w:val="22"/>
              <w:szCs w:val="22"/>
              <w:lang w:eastAsia="en-GB"/>
            </w:rPr>
          </w:pPr>
          <w:hyperlink w:anchor="_Toc531010372" w:history="1">
            <w:r w:rsidR="00E3016F" w:rsidRPr="00A70B87">
              <w:rPr>
                <w:rStyle w:val="Hyperlink"/>
                <w:noProof/>
              </w:rPr>
              <w:t>6</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Outbreaks of Vaccine Preventable Diseases</w:t>
            </w:r>
            <w:r w:rsidR="00E3016F">
              <w:rPr>
                <w:noProof/>
                <w:webHidden/>
              </w:rPr>
              <w:tab/>
            </w:r>
            <w:r w:rsidR="00E3016F">
              <w:rPr>
                <w:noProof/>
                <w:webHidden/>
              </w:rPr>
              <w:fldChar w:fldCharType="begin"/>
            </w:r>
            <w:r w:rsidR="00E3016F">
              <w:rPr>
                <w:noProof/>
                <w:webHidden/>
              </w:rPr>
              <w:instrText xml:space="preserve"> PAGEREF _Toc531010372 \h </w:instrText>
            </w:r>
            <w:r w:rsidR="00E3016F">
              <w:rPr>
                <w:noProof/>
                <w:webHidden/>
              </w:rPr>
            </w:r>
            <w:r w:rsidR="00E3016F">
              <w:rPr>
                <w:noProof/>
                <w:webHidden/>
              </w:rPr>
              <w:fldChar w:fldCharType="separate"/>
            </w:r>
            <w:r w:rsidR="00E3016F">
              <w:rPr>
                <w:noProof/>
                <w:webHidden/>
              </w:rPr>
              <w:t>24</w:t>
            </w:r>
            <w:r w:rsidR="00E3016F">
              <w:rPr>
                <w:noProof/>
                <w:webHidden/>
              </w:rPr>
              <w:fldChar w:fldCharType="end"/>
            </w:r>
          </w:hyperlink>
        </w:p>
        <w:p w:rsidR="00E3016F" w:rsidRDefault="00E97638">
          <w:pPr>
            <w:pStyle w:val="TOC1"/>
            <w:tabs>
              <w:tab w:val="left" w:pos="567"/>
            </w:tabs>
            <w:rPr>
              <w:rFonts w:asciiTheme="minorHAnsi" w:eastAsiaTheme="minorEastAsia" w:hAnsiTheme="minorHAnsi" w:cstheme="minorBidi"/>
              <w:bCs w:val="0"/>
              <w:noProof/>
              <w:sz w:val="22"/>
              <w:szCs w:val="22"/>
              <w:lang w:eastAsia="en-GB"/>
            </w:rPr>
          </w:pPr>
          <w:hyperlink w:anchor="_Toc531010373" w:history="1">
            <w:r w:rsidR="00E3016F" w:rsidRPr="00A70B87">
              <w:rPr>
                <w:rStyle w:val="Hyperlink"/>
                <w:noProof/>
              </w:rPr>
              <w:t>7</w:t>
            </w:r>
            <w:r w:rsidR="00E3016F">
              <w:rPr>
                <w:rFonts w:asciiTheme="minorHAnsi" w:eastAsiaTheme="minorEastAsia" w:hAnsiTheme="minorHAnsi" w:cstheme="minorBidi"/>
                <w:bCs w:val="0"/>
                <w:noProof/>
                <w:sz w:val="22"/>
                <w:szCs w:val="22"/>
                <w:lang w:eastAsia="en-GB"/>
              </w:rPr>
              <w:tab/>
            </w:r>
            <w:r w:rsidR="00E3016F" w:rsidRPr="00A70B87">
              <w:rPr>
                <w:rStyle w:val="Hyperlink"/>
                <w:noProof/>
              </w:rPr>
              <w:t>Next Steps</w:t>
            </w:r>
            <w:r w:rsidR="00E3016F">
              <w:rPr>
                <w:noProof/>
                <w:webHidden/>
              </w:rPr>
              <w:tab/>
            </w:r>
            <w:r w:rsidR="00E3016F">
              <w:rPr>
                <w:noProof/>
                <w:webHidden/>
              </w:rPr>
              <w:fldChar w:fldCharType="begin"/>
            </w:r>
            <w:r w:rsidR="00E3016F">
              <w:rPr>
                <w:noProof/>
                <w:webHidden/>
              </w:rPr>
              <w:instrText xml:space="preserve"> PAGEREF _Toc531010373 \h </w:instrText>
            </w:r>
            <w:r w:rsidR="00E3016F">
              <w:rPr>
                <w:noProof/>
                <w:webHidden/>
              </w:rPr>
            </w:r>
            <w:r w:rsidR="00E3016F">
              <w:rPr>
                <w:noProof/>
                <w:webHidden/>
              </w:rPr>
              <w:fldChar w:fldCharType="separate"/>
            </w:r>
            <w:r w:rsidR="00E3016F">
              <w:rPr>
                <w:noProof/>
                <w:webHidden/>
              </w:rPr>
              <w:t>24</w:t>
            </w:r>
            <w:r w:rsidR="00E3016F">
              <w:rPr>
                <w:noProof/>
                <w:webHidden/>
              </w:rPr>
              <w:fldChar w:fldCharType="end"/>
            </w:r>
          </w:hyperlink>
        </w:p>
        <w:p w:rsidR="001264F6" w:rsidRDefault="00660C11" w:rsidP="00815046">
          <w:pPr>
            <w:jc w:val="both"/>
          </w:pPr>
          <w:r>
            <w:rPr>
              <w:b/>
              <w:noProof/>
            </w:rPr>
            <w:fldChar w:fldCharType="end"/>
          </w:r>
        </w:p>
      </w:sdtContent>
    </w:sdt>
    <w:p w:rsidR="001264F6" w:rsidRDefault="001264F6" w:rsidP="00815046">
      <w:pPr>
        <w:jc w:val="both"/>
      </w:pPr>
    </w:p>
    <w:p w:rsidR="001264F6" w:rsidRDefault="001264F6" w:rsidP="00815046">
      <w:pPr>
        <w:jc w:val="both"/>
        <w:rPr>
          <w:rFonts w:cs="Arial"/>
          <w:color w:val="0072C6"/>
          <w:kern w:val="32"/>
          <w:sz w:val="32"/>
          <w:szCs w:val="32"/>
        </w:rPr>
      </w:pPr>
      <w:r>
        <w:br w:type="page"/>
      </w:r>
    </w:p>
    <w:p w:rsidR="001264F6" w:rsidRPr="00667E6C" w:rsidRDefault="00AB18F3" w:rsidP="00815046">
      <w:pPr>
        <w:pStyle w:val="Heading1"/>
        <w:jc w:val="both"/>
      </w:pPr>
      <w:bookmarkStart w:id="4" w:name="_Toc531010356"/>
      <w:r>
        <w:lastRenderedPageBreak/>
        <w:t>Aim</w:t>
      </w:r>
      <w:bookmarkEnd w:id="4"/>
    </w:p>
    <w:p w:rsidR="001264F6" w:rsidRDefault="001264F6" w:rsidP="00815046">
      <w:pPr>
        <w:jc w:val="both"/>
      </w:pPr>
    </w:p>
    <w:p w:rsidR="00D36E3D" w:rsidRDefault="00952902" w:rsidP="00815046">
      <w:pPr>
        <w:pStyle w:val="ListParagraph"/>
        <w:numPr>
          <w:ilvl w:val="0"/>
          <w:numId w:val="4"/>
        </w:numPr>
        <w:jc w:val="both"/>
      </w:pPr>
      <w:r>
        <w:t xml:space="preserve">The purpose </w:t>
      </w:r>
      <w:r w:rsidR="00D36E3D">
        <w:t xml:space="preserve">of this paper is to provide </w:t>
      </w:r>
      <w:r>
        <w:t xml:space="preserve">an overview of Section 7a </w:t>
      </w:r>
      <w:r w:rsidR="001245BC">
        <w:t>childhood</w:t>
      </w:r>
      <w:r w:rsidR="0005307E">
        <w:t xml:space="preserve"> and school age </w:t>
      </w:r>
      <w:r>
        <w:t>immunisation</w:t>
      </w:r>
      <w:r w:rsidR="00D36E3D">
        <w:t xml:space="preserve"> programmes in the London Borough of </w:t>
      </w:r>
      <w:r w:rsidR="00E3016F">
        <w:t>Harrow</w:t>
      </w:r>
      <w:r w:rsidR="00277616">
        <w:t xml:space="preserve"> for </w:t>
      </w:r>
      <w:r w:rsidR="002B6970">
        <w:t>2017/18</w:t>
      </w:r>
      <w:r w:rsidR="00D36E3D">
        <w:t xml:space="preserve">.  The paper covers the vaccine coverage and uptake for each programme along with an account of what NHS England (NHSE) London Region are doing to improve uptake and coverage.  </w:t>
      </w:r>
    </w:p>
    <w:p w:rsidR="00721EF8" w:rsidRDefault="00721EF8" w:rsidP="00815046">
      <w:pPr>
        <w:ind w:left="360"/>
        <w:jc w:val="both"/>
      </w:pPr>
    </w:p>
    <w:p w:rsidR="00952902" w:rsidRDefault="00952902" w:rsidP="00815046">
      <w:pPr>
        <w:pStyle w:val="ListParagraph"/>
        <w:numPr>
          <w:ilvl w:val="0"/>
          <w:numId w:val="4"/>
        </w:numPr>
        <w:jc w:val="both"/>
      </w:pPr>
      <w:r>
        <w:t xml:space="preserve">Section 7a immunisation programmes are </w:t>
      </w:r>
      <w:r w:rsidR="0005307E">
        <w:t>publicly funded</w:t>
      </w:r>
      <w:r>
        <w:t xml:space="preserve"> immunisation programmes that cover the life-course and </w:t>
      </w:r>
      <w:r w:rsidR="001245BC">
        <w:t>the 18</w:t>
      </w:r>
      <w:r w:rsidR="00EE296A">
        <w:t xml:space="preserve"> programmes include</w:t>
      </w:r>
      <w:r w:rsidR="000B7D93">
        <w:t>:</w:t>
      </w:r>
    </w:p>
    <w:p w:rsidR="00952902" w:rsidRDefault="00952902" w:rsidP="00815046">
      <w:pPr>
        <w:pStyle w:val="ListParagraph"/>
        <w:numPr>
          <w:ilvl w:val="1"/>
          <w:numId w:val="4"/>
        </w:numPr>
        <w:jc w:val="both"/>
      </w:pPr>
      <w:r>
        <w:t xml:space="preserve">Antenatal and targeted new-born vaccinations </w:t>
      </w:r>
    </w:p>
    <w:p w:rsidR="00952902" w:rsidRDefault="00952902" w:rsidP="00815046">
      <w:pPr>
        <w:pStyle w:val="ListParagraph"/>
        <w:numPr>
          <w:ilvl w:val="1"/>
          <w:numId w:val="4"/>
        </w:numPr>
        <w:jc w:val="both"/>
      </w:pPr>
      <w:r>
        <w:t>Routine Childhood Immunisation Programme for 0-5 years</w:t>
      </w:r>
    </w:p>
    <w:p w:rsidR="00952902" w:rsidRDefault="00952902" w:rsidP="00815046">
      <w:pPr>
        <w:pStyle w:val="ListParagraph"/>
        <w:numPr>
          <w:ilvl w:val="1"/>
          <w:numId w:val="4"/>
        </w:numPr>
        <w:jc w:val="both"/>
      </w:pPr>
      <w:r>
        <w:t xml:space="preserve">School age vaccinations </w:t>
      </w:r>
    </w:p>
    <w:p w:rsidR="00952902" w:rsidRDefault="00952902" w:rsidP="00815046">
      <w:pPr>
        <w:pStyle w:val="ListParagraph"/>
        <w:numPr>
          <w:ilvl w:val="1"/>
          <w:numId w:val="4"/>
        </w:numPr>
        <w:jc w:val="both"/>
      </w:pPr>
      <w:r>
        <w:t>Adult vaccinatio</w:t>
      </w:r>
      <w:r w:rsidR="00083253">
        <w:t>ns such as the annual seasonal influenza</w:t>
      </w:r>
      <w:r>
        <w:t xml:space="preserve"> vaccination </w:t>
      </w:r>
    </w:p>
    <w:p w:rsidR="00721EF8" w:rsidRDefault="00721EF8" w:rsidP="00815046">
      <w:pPr>
        <w:ind w:left="360"/>
        <w:jc w:val="both"/>
      </w:pPr>
    </w:p>
    <w:p w:rsidR="00645907" w:rsidRDefault="0005307E" w:rsidP="00815046">
      <w:pPr>
        <w:pStyle w:val="ListParagraph"/>
        <w:numPr>
          <w:ilvl w:val="0"/>
          <w:numId w:val="4"/>
        </w:numPr>
        <w:jc w:val="both"/>
      </w:pPr>
      <w:r>
        <w:t xml:space="preserve">This paper focuses on those </w:t>
      </w:r>
      <w:r w:rsidR="001245BC">
        <w:t>immunisation programmes provided for 0-5 years under the national Routine Childhood Immunisation Schedule</w:t>
      </w:r>
      <w:r>
        <w:t xml:space="preserve"> and those programmes prov</w:t>
      </w:r>
      <w:r w:rsidR="00645907">
        <w:t>ided for school aged children (4</w:t>
      </w:r>
      <w:r>
        <w:t>-18).</w:t>
      </w:r>
      <w:r w:rsidR="00645907">
        <w:t xml:space="preserve"> </w:t>
      </w:r>
    </w:p>
    <w:p w:rsidR="00645907" w:rsidRDefault="00645907" w:rsidP="00815046">
      <w:pPr>
        <w:ind w:left="360"/>
        <w:jc w:val="both"/>
      </w:pPr>
    </w:p>
    <w:p w:rsidR="00E432FE" w:rsidRDefault="00D36E3D" w:rsidP="00815046">
      <w:pPr>
        <w:pStyle w:val="ListParagraph"/>
        <w:numPr>
          <w:ilvl w:val="0"/>
          <w:numId w:val="4"/>
        </w:numPr>
        <w:jc w:val="both"/>
      </w:pPr>
      <w:r>
        <w:t xml:space="preserve">Members of the Health </w:t>
      </w:r>
      <w:r w:rsidR="00D754FF">
        <w:t>and Well-Being Board</w:t>
      </w:r>
      <w:r>
        <w:t xml:space="preserve"> </w:t>
      </w:r>
      <w:r w:rsidR="008D7487">
        <w:t>are asked to note and support the</w:t>
      </w:r>
      <w:r>
        <w:t xml:space="preserve"> work NHSE</w:t>
      </w:r>
      <w:r w:rsidR="008D7487">
        <w:t xml:space="preserve"> (London)</w:t>
      </w:r>
      <w:r>
        <w:t xml:space="preserve"> and its partners such as Public Health England (PHE)</w:t>
      </w:r>
      <w:r w:rsidR="00377495">
        <w:t xml:space="preserve">, the </w:t>
      </w:r>
      <w:r>
        <w:t>local authority</w:t>
      </w:r>
      <w:r w:rsidR="00377495">
        <w:t xml:space="preserve"> and the CCG </w:t>
      </w:r>
      <w:r w:rsidR="008D7487">
        <w:t xml:space="preserve">are doing to increase vaccination coverage and immunisation uptake in </w:t>
      </w:r>
      <w:r w:rsidR="00E3016F">
        <w:t>Harrow</w:t>
      </w:r>
      <w:r w:rsidR="008D7487">
        <w:t xml:space="preserve">. </w:t>
      </w:r>
    </w:p>
    <w:p w:rsidR="002B6970" w:rsidRDefault="002B6970" w:rsidP="00815046">
      <w:pPr>
        <w:jc w:val="both"/>
      </w:pPr>
    </w:p>
    <w:p w:rsidR="002B6970" w:rsidRPr="00C63452" w:rsidRDefault="002B6970" w:rsidP="00815046">
      <w:pPr>
        <w:pStyle w:val="Heading1"/>
        <w:jc w:val="both"/>
      </w:pPr>
      <w:bookmarkStart w:id="5" w:name="_Toc531010357"/>
      <w:r w:rsidRPr="00C63452">
        <w:t>Roles and responsibilities</w:t>
      </w:r>
      <w:bookmarkEnd w:id="5"/>
    </w:p>
    <w:p w:rsidR="002B6970" w:rsidRPr="00C63452" w:rsidRDefault="002B6970" w:rsidP="00815046">
      <w:pPr>
        <w:pStyle w:val="ListParagraph"/>
        <w:widowControl w:val="0"/>
        <w:tabs>
          <w:tab w:val="left" w:pos="426"/>
        </w:tabs>
        <w:spacing w:line="288" w:lineRule="auto"/>
        <w:ind w:left="0"/>
        <w:jc w:val="both"/>
        <w:rPr>
          <w:rFonts w:cs="Arial"/>
          <w:b/>
        </w:rPr>
      </w:pPr>
    </w:p>
    <w:p w:rsidR="00675F2A" w:rsidRPr="00675F2A" w:rsidRDefault="002B6970" w:rsidP="00815046">
      <w:pPr>
        <w:pStyle w:val="ListParagraph"/>
        <w:numPr>
          <w:ilvl w:val="0"/>
          <w:numId w:val="44"/>
        </w:numPr>
        <w:jc w:val="both"/>
        <w:rPr>
          <w:rFonts w:cs="Arial"/>
          <w:lang w:eastAsia="en-GB"/>
        </w:rPr>
      </w:pPr>
      <w:r w:rsidRPr="00675F2A">
        <w:rPr>
          <w:i/>
        </w:rPr>
        <w:t>The</w:t>
      </w:r>
      <w:r w:rsidRPr="00675F2A">
        <w:rPr>
          <w:i/>
          <w:lang w:eastAsia="en-GB"/>
        </w:rPr>
        <w:t xml:space="preserve"> Immunisation &amp; Screening National Delivery Framework &amp; Local Operating Model</w:t>
      </w:r>
      <w:r w:rsidRPr="00C63452">
        <w:rPr>
          <w:lang w:eastAsia="en-GB"/>
        </w:rPr>
        <w:t xml:space="preserve"> (2013) sets out the roles and responsibilities of different partners and organisations in the delivery of immunisations. </w:t>
      </w:r>
      <w:r w:rsidR="00675F2A">
        <w:rPr>
          <w:lang w:eastAsia="en-GB"/>
        </w:rPr>
        <w:t xml:space="preserve"> </w:t>
      </w:r>
    </w:p>
    <w:p w:rsidR="00675F2A" w:rsidRPr="00675F2A" w:rsidRDefault="00675F2A" w:rsidP="00815046">
      <w:pPr>
        <w:jc w:val="both"/>
        <w:rPr>
          <w:rFonts w:cs="Arial"/>
          <w:lang w:eastAsia="en-GB"/>
        </w:rPr>
      </w:pPr>
    </w:p>
    <w:p w:rsidR="002B6970" w:rsidRPr="00675F2A" w:rsidRDefault="00675F2A" w:rsidP="00815046">
      <w:pPr>
        <w:pStyle w:val="ListParagraph"/>
        <w:numPr>
          <w:ilvl w:val="0"/>
          <w:numId w:val="44"/>
        </w:numPr>
        <w:jc w:val="both"/>
        <w:rPr>
          <w:rFonts w:cs="Arial"/>
          <w:color w:val="000000"/>
          <w:lang w:eastAsia="en-GB"/>
        </w:rPr>
      </w:pPr>
      <w:r>
        <w:rPr>
          <w:lang w:eastAsia="en-GB"/>
        </w:rPr>
        <w:t xml:space="preserve">Under this guidance, NHS </w:t>
      </w:r>
      <w:r w:rsidR="002B6970" w:rsidRPr="00675F2A">
        <w:rPr>
          <w:rFonts w:cs="Arial"/>
          <w:color w:val="000000"/>
          <w:lang w:eastAsia="en-GB"/>
        </w:rPr>
        <w:t>England (NHSE), through its Area Teams</w:t>
      </w:r>
      <w:r>
        <w:rPr>
          <w:rFonts w:cs="Arial"/>
          <w:color w:val="000000"/>
          <w:lang w:eastAsia="en-GB"/>
        </w:rPr>
        <w:t xml:space="preserve"> (known as Screening and Immunisation Teams)</w:t>
      </w:r>
      <w:r w:rsidR="002B6970" w:rsidRPr="00675F2A">
        <w:rPr>
          <w:rFonts w:cs="Arial"/>
          <w:color w:val="000000"/>
          <w:lang w:eastAsia="en-GB"/>
        </w:rPr>
        <w:t xml:space="preserve">, is responsible for the </w:t>
      </w:r>
      <w:r w:rsidR="00636737" w:rsidRPr="00675F2A">
        <w:rPr>
          <w:rFonts w:cs="Arial"/>
          <w:color w:val="000000"/>
          <w:lang w:eastAsia="en-GB"/>
        </w:rPr>
        <w:t xml:space="preserve">routine </w:t>
      </w:r>
      <w:r w:rsidR="002B6970" w:rsidRPr="00675F2A">
        <w:rPr>
          <w:rFonts w:cs="Arial"/>
          <w:color w:val="000000"/>
          <w:lang w:eastAsia="en-GB"/>
        </w:rPr>
        <w:t>commissioning of all National Immunisation Programmes</w:t>
      </w:r>
      <w:r w:rsidR="00636737" w:rsidRPr="00675F2A">
        <w:rPr>
          <w:lang w:val="en-US"/>
        </w:rPr>
        <w:t xml:space="preserve"> under the terms of the Section 7a agreement</w:t>
      </w:r>
      <w:r w:rsidR="002B6970" w:rsidRPr="00675F2A">
        <w:rPr>
          <w:rFonts w:cs="Arial"/>
          <w:color w:val="000000"/>
          <w:lang w:eastAsia="en-GB"/>
        </w:rPr>
        <w:t>. In this capacity, NHS England is accountable for ensuring that local providers of services deliver against the national service specifications and meet agreed population uptake &amp; coverage levels. NHS England is also responsible for monitoring providers’ performance and for supporting providers in delivering improvements in quality and changes in the programmes when required.</w:t>
      </w:r>
    </w:p>
    <w:p w:rsidR="00636737" w:rsidRDefault="00636737" w:rsidP="00815046">
      <w:pPr>
        <w:jc w:val="both"/>
      </w:pPr>
    </w:p>
    <w:p w:rsidR="002B6970" w:rsidRPr="00675F2A" w:rsidRDefault="002B6970" w:rsidP="00815046">
      <w:pPr>
        <w:pStyle w:val="ListParagraph"/>
        <w:numPr>
          <w:ilvl w:val="0"/>
          <w:numId w:val="44"/>
        </w:numPr>
        <w:jc w:val="both"/>
        <w:rPr>
          <w:rFonts w:cs="Arial"/>
          <w:color w:val="000000"/>
          <w:lang w:eastAsia="en-GB"/>
        </w:rPr>
      </w:pPr>
      <w:r w:rsidRPr="00675F2A">
        <w:rPr>
          <w:rFonts w:cs="Arial"/>
          <w:color w:val="000000"/>
          <w:lang w:eastAsia="en-GB"/>
        </w:rPr>
        <w:t>Public Health England (PHE</w:t>
      </w:r>
      <w:r w:rsidR="00675F2A">
        <w:rPr>
          <w:rFonts w:cs="Arial"/>
          <w:color w:val="000000"/>
          <w:lang w:eastAsia="en-GB"/>
        </w:rPr>
        <w:t>) Health Protection Teams</w:t>
      </w:r>
      <w:r w:rsidRPr="00675F2A">
        <w:rPr>
          <w:rFonts w:cs="Arial"/>
          <w:color w:val="000000"/>
          <w:lang w:eastAsia="en-GB"/>
        </w:rPr>
        <w:t xml:space="preserve"> lead the response to outbreaks of vaccine preventable disease a</w:t>
      </w:r>
      <w:r w:rsidR="00675F2A">
        <w:rPr>
          <w:rFonts w:cs="Arial"/>
          <w:color w:val="000000"/>
          <w:lang w:eastAsia="en-GB"/>
        </w:rPr>
        <w:t>nd provide expert advice to NHSE screening and immunisation teams</w:t>
      </w:r>
      <w:r w:rsidRPr="00675F2A">
        <w:rPr>
          <w:rFonts w:cs="Arial"/>
          <w:color w:val="000000"/>
          <w:lang w:eastAsia="en-GB"/>
        </w:rPr>
        <w:t xml:space="preserve"> in cases of immunisation incidents. They also provide access to national expertise on vaccination and immunisation queries.</w:t>
      </w:r>
      <w:r w:rsidR="00675F2A">
        <w:rPr>
          <w:rFonts w:cs="Arial"/>
          <w:color w:val="000000"/>
          <w:lang w:eastAsia="en-GB"/>
        </w:rPr>
        <w:t xml:space="preserve">  In </w:t>
      </w:r>
      <w:r w:rsidR="00E3016F">
        <w:rPr>
          <w:rFonts w:cs="Arial"/>
          <w:color w:val="000000"/>
          <w:lang w:eastAsia="en-GB"/>
        </w:rPr>
        <w:t>Harrow</w:t>
      </w:r>
      <w:r w:rsidR="00675F2A">
        <w:rPr>
          <w:rFonts w:cs="Arial"/>
          <w:color w:val="000000"/>
          <w:lang w:eastAsia="en-GB"/>
        </w:rPr>
        <w:t xml:space="preserve">, this function is provided by the PHE North West Health Protection Team. </w:t>
      </w:r>
    </w:p>
    <w:p w:rsidR="002B6970" w:rsidRPr="00C63452" w:rsidRDefault="002B6970" w:rsidP="00815046">
      <w:pPr>
        <w:jc w:val="both"/>
        <w:rPr>
          <w:rFonts w:cs="Arial"/>
          <w:color w:val="000000"/>
          <w:lang w:eastAsia="en-GB"/>
        </w:rPr>
      </w:pPr>
    </w:p>
    <w:p w:rsidR="006E56FF" w:rsidRDefault="002B6970" w:rsidP="00815046">
      <w:pPr>
        <w:pStyle w:val="ListParagraph"/>
        <w:numPr>
          <w:ilvl w:val="0"/>
          <w:numId w:val="44"/>
        </w:numPr>
        <w:jc w:val="both"/>
        <w:rPr>
          <w:rFonts w:cs="Arial"/>
          <w:color w:val="000000"/>
          <w:lang w:eastAsia="en-GB"/>
        </w:rPr>
      </w:pPr>
      <w:r w:rsidRPr="00675F2A">
        <w:rPr>
          <w:rFonts w:cs="Arial"/>
          <w:color w:val="000000"/>
          <w:lang w:eastAsia="en-GB"/>
        </w:rPr>
        <w:lastRenderedPageBreak/>
        <w:t>Clinical Commissioning Groups</w:t>
      </w:r>
      <w:r w:rsidRPr="00675F2A">
        <w:rPr>
          <w:rFonts w:cs="Arial"/>
          <w:b/>
          <w:color w:val="000000"/>
          <w:lang w:eastAsia="en-GB"/>
        </w:rPr>
        <w:t xml:space="preserve"> </w:t>
      </w:r>
      <w:r w:rsidRPr="00675F2A">
        <w:rPr>
          <w:rFonts w:cs="Arial"/>
          <w:color w:val="000000"/>
          <w:lang w:eastAsia="en-GB"/>
        </w:rPr>
        <w:t xml:space="preserve">(CCGs) have a duty of quality improvement, and this extends to primary medical care services delivered by GP practices, including delivery of childhood immunisation services. </w:t>
      </w:r>
    </w:p>
    <w:p w:rsidR="00675F2A" w:rsidRPr="00675F2A" w:rsidRDefault="00675F2A" w:rsidP="00815046">
      <w:pPr>
        <w:pStyle w:val="ListParagraph"/>
        <w:jc w:val="both"/>
        <w:rPr>
          <w:rFonts w:cs="Arial"/>
          <w:color w:val="000000"/>
          <w:lang w:eastAsia="en-GB"/>
        </w:rPr>
      </w:pPr>
    </w:p>
    <w:p w:rsidR="00675F2A" w:rsidRDefault="00675F2A" w:rsidP="00815046">
      <w:pPr>
        <w:pStyle w:val="ListParagraph"/>
        <w:numPr>
          <w:ilvl w:val="0"/>
          <w:numId w:val="44"/>
        </w:numPr>
        <w:jc w:val="both"/>
        <w:rPr>
          <w:lang w:eastAsia="en-GB"/>
        </w:rPr>
      </w:pPr>
      <w:r>
        <w:rPr>
          <w:lang w:eastAsia="en-GB"/>
        </w:rPr>
        <w:t>Across the UK, the main pr</w:t>
      </w:r>
      <w:r w:rsidR="002B6970" w:rsidRPr="00675F2A">
        <w:rPr>
          <w:lang w:eastAsia="en-GB"/>
        </w:rPr>
        <w:t>ovider</w:t>
      </w:r>
      <w:r>
        <w:rPr>
          <w:lang w:eastAsia="en-GB"/>
        </w:rPr>
        <w:t>s of childhood immunisation</w:t>
      </w:r>
      <w:r w:rsidR="002B6970" w:rsidRPr="00675F2A">
        <w:rPr>
          <w:lang w:eastAsia="en-GB"/>
        </w:rPr>
        <w:t xml:space="preserve"> are GP </w:t>
      </w:r>
      <w:r>
        <w:rPr>
          <w:lang w:eastAsia="en-GB"/>
        </w:rPr>
        <w:t xml:space="preserve">practices.  In </w:t>
      </w:r>
      <w:r w:rsidR="00E3016F">
        <w:rPr>
          <w:lang w:eastAsia="en-GB"/>
        </w:rPr>
        <w:t>Harrow</w:t>
      </w:r>
      <w:r>
        <w:rPr>
          <w:lang w:eastAsia="en-GB"/>
        </w:rPr>
        <w:t>, all general practices are</w:t>
      </w:r>
      <w:r w:rsidR="002B6970" w:rsidRPr="00675F2A">
        <w:rPr>
          <w:lang w:eastAsia="en-GB"/>
        </w:rPr>
        <w:t xml:space="preserve"> contracted to deliver childhood immunisations for children aged 0-5 through </w:t>
      </w:r>
      <w:r>
        <w:rPr>
          <w:lang w:eastAsia="en-GB"/>
        </w:rPr>
        <w:t xml:space="preserve">their primary care contract.  </w:t>
      </w:r>
    </w:p>
    <w:p w:rsidR="00675F2A" w:rsidRPr="00675F2A" w:rsidRDefault="00675F2A" w:rsidP="00815046">
      <w:pPr>
        <w:jc w:val="both"/>
        <w:rPr>
          <w:lang w:eastAsia="en-GB"/>
        </w:rPr>
      </w:pPr>
    </w:p>
    <w:p w:rsidR="00675F2A" w:rsidRDefault="005C5EAF" w:rsidP="005C5EAF">
      <w:pPr>
        <w:pStyle w:val="ListParagraph"/>
        <w:numPr>
          <w:ilvl w:val="0"/>
          <w:numId w:val="44"/>
        </w:numPr>
        <w:jc w:val="both"/>
        <w:rPr>
          <w:lang w:eastAsia="en-GB"/>
        </w:rPr>
      </w:pPr>
      <w:r w:rsidRPr="005C5EAF">
        <w:rPr>
          <w:lang w:eastAsia="en-GB"/>
        </w:rPr>
        <w:t xml:space="preserve">Central London Community Healthcare NHS Trust </w:t>
      </w:r>
      <w:r w:rsidR="002B6970" w:rsidRPr="00675F2A">
        <w:rPr>
          <w:lang w:eastAsia="en-GB"/>
        </w:rPr>
        <w:t>(</w:t>
      </w:r>
      <w:r>
        <w:rPr>
          <w:lang w:eastAsia="en-GB"/>
        </w:rPr>
        <w:t>CLCH</w:t>
      </w:r>
      <w:r w:rsidR="00675F2A">
        <w:rPr>
          <w:lang w:eastAsia="en-GB"/>
        </w:rPr>
        <w:t>) are contracted by NHSE (London) to provide</w:t>
      </w:r>
      <w:r w:rsidR="002B6970" w:rsidRPr="00675F2A">
        <w:rPr>
          <w:lang w:eastAsia="en-GB"/>
        </w:rPr>
        <w:t xml:space="preserve"> neonatal BCG vaccination and the school age immunisations. </w:t>
      </w:r>
    </w:p>
    <w:p w:rsidR="00675F2A" w:rsidRPr="00675F2A" w:rsidRDefault="00675F2A" w:rsidP="00815046">
      <w:pPr>
        <w:jc w:val="both"/>
        <w:rPr>
          <w:lang w:eastAsia="en-GB"/>
        </w:rPr>
      </w:pPr>
    </w:p>
    <w:p w:rsidR="006E56FF" w:rsidRDefault="00675F2A" w:rsidP="00815046">
      <w:pPr>
        <w:pStyle w:val="ListParagraph"/>
        <w:numPr>
          <w:ilvl w:val="0"/>
          <w:numId w:val="47"/>
        </w:numPr>
        <w:jc w:val="both"/>
        <w:rPr>
          <w:lang w:eastAsia="en-GB"/>
        </w:rPr>
      </w:pPr>
      <w:r>
        <w:rPr>
          <w:lang w:eastAsia="en-GB"/>
        </w:rPr>
        <w:t>Immunisation data is captured on</w:t>
      </w:r>
      <w:r w:rsidR="002B6970" w:rsidRPr="00675F2A">
        <w:rPr>
          <w:lang w:eastAsia="en-GB"/>
        </w:rPr>
        <w:t xml:space="preserve"> Child Health Information System (CHIS) for </w:t>
      </w:r>
      <w:r w:rsidR="00E3016F">
        <w:rPr>
          <w:lang w:eastAsia="en-GB"/>
        </w:rPr>
        <w:t>Harrow</w:t>
      </w:r>
      <w:r w:rsidR="000236F2" w:rsidRPr="00675F2A">
        <w:rPr>
          <w:lang w:eastAsia="en-GB"/>
        </w:rPr>
        <w:t xml:space="preserve"> as part of the NWL CHIS Hub</w:t>
      </w:r>
      <w:r>
        <w:rPr>
          <w:lang w:eastAsia="en-GB"/>
        </w:rPr>
        <w:t xml:space="preserve"> (provided by Health Intelligence)</w:t>
      </w:r>
      <w:r w:rsidR="002B6970" w:rsidRPr="00675F2A">
        <w:rPr>
          <w:lang w:eastAsia="en-GB"/>
        </w:rPr>
        <w:t>. Data is uploaded into CHIS from GP practice records</w:t>
      </w:r>
      <w:r>
        <w:rPr>
          <w:lang w:eastAsia="en-GB"/>
        </w:rPr>
        <w:t xml:space="preserve"> via a data linkage system provided by Health Intelligence</w:t>
      </w:r>
      <w:r w:rsidR="00721EF8">
        <w:rPr>
          <w:lang w:eastAsia="en-GB"/>
        </w:rPr>
        <w:t xml:space="preserve">.  </w:t>
      </w:r>
      <w:r w:rsidR="0064147C">
        <w:rPr>
          <w:lang w:eastAsia="en-GB"/>
        </w:rPr>
        <w:t xml:space="preserve">The </w:t>
      </w:r>
      <w:r w:rsidR="00721EF8">
        <w:rPr>
          <w:lang w:eastAsia="en-GB"/>
        </w:rPr>
        <w:t>CHIS provides</w:t>
      </w:r>
      <w:r>
        <w:rPr>
          <w:lang w:eastAsia="en-GB"/>
        </w:rPr>
        <w:t xml:space="preserve"> quarterly and annual submissions to </w:t>
      </w:r>
      <w:r w:rsidR="001100F5" w:rsidRPr="00675F2A">
        <w:rPr>
          <w:lang w:eastAsia="en-GB"/>
        </w:rPr>
        <w:t>Public Health England</w:t>
      </w:r>
      <w:r>
        <w:rPr>
          <w:lang w:eastAsia="en-GB"/>
        </w:rPr>
        <w:t xml:space="preserve"> for their publication of statistics on 0-5s childhood immunisation programmes.  This is </w:t>
      </w:r>
      <w:r w:rsidR="00721EF8">
        <w:rPr>
          <w:lang w:eastAsia="en-GB"/>
        </w:rPr>
        <w:t xml:space="preserve">known as </w:t>
      </w:r>
      <w:r w:rsidR="008B6D5B" w:rsidRPr="008B6D5B">
        <w:rPr>
          <w:szCs w:val="24"/>
        </w:rPr>
        <w:t>Cohort of Vaccin</w:t>
      </w:r>
      <w:r w:rsidR="0064147C">
        <w:rPr>
          <w:szCs w:val="24"/>
        </w:rPr>
        <w:t>ation Evaluated Rapidly (COVER)</w:t>
      </w:r>
      <w:r w:rsidR="00721EF8">
        <w:rPr>
          <w:lang w:eastAsia="en-GB"/>
        </w:rPr>
        <w:t xml:space="preserve"> and these statistics are official statistics</w:t>
      </w:r>
      <w:r w:rsidR="001100F5" w:rsidRPr="00675F2A">
        <w:rPr>
          <w:lang w:eastAsia="en-GB"/>
        </w:rPr>
        <w:t>.</w:t>
      </w:r>
    </w:p>
    <w:p w:rsidR="00721EF8" w:rsidRPr="00721EF8" w:rsidRDefault="00721EF8" w:rsidP="00815046">
      <w:pPr>
        <w:jc w:val="both"/>
        <w:rPr>
          <w:lang w:eastAsia="en-GB"/>
        </w:rPr>
      </w:pPr>
    </w:p>
    <w:p w:rsidR="006E56FF" w:rsidRDefault="002B6970" w:rsidP="00815046">
      <w:pPr>
        <w:pStyle w:val="ListParagraph"/>
        <w:numPr>
          <w:ilvl w:val="0"/>
          <w:numId w:val="46"/>
        </w:numPr>
        <w:jc w:val="both"/>
        <w:rPr>
          <w:lang w:eastAsia="en-GB"/>
        </w:rPr>
      </w:pPr>
      <w:r w:rsidRPr="00721EF8">
        <w:rPr>
          <w:lang w:eastAsia="en-GB"/>
        </w:rPr>
        <w:t>Local Authori</w:t>
      </w:r>
      <w:r w:rsidR="00377495">
        <w:rPr>
          <w:lang w:eastAsia="en-GB"/>
        </w:rPr>
        <w:t>ty Public Health Teams</w:t>
      </w:r>
      <w:r w:rsidR="00721EF8">
        <w:rPr>
          <w:lang w:eastAsia="en-GB"/>
        </w:rPr>
        <w:t xml:space="preserve"> (LAs)</w:t>
      </w:r>
      <w:r w:rsidRPr="008B6D5B">
        <w:rPr>
          <w:b/>
          <w:lang w:eastAsia="en-GB"/>
        </w:rPr>
        <w:t xml:space="preserve"> </w:t>
      </w:r>
      <w:r w:rsidRPr="00721EF8">
        <w:rPr>
          <w:lang w:eastAsia="en-GB"/>
        </w:rPr>
        <w:t>are responsible for providing independent scrutiny and challenge of the arrangements of NHS England, Publi</w:t>
      </w:r>
      <w:r w:rsidR="006A6D55" w:rsidRPr="00721EF8">
        <w:rPr>
          <w:lang w:eastAsia="en-GB"/>
        </w:rPr>
        <w:t>c Health England and providers.</w:t>
      </w:r>
    </w:p>
    <w:p w:rsidR="00721EF8" w:rsidRPr="00721EF8" w:rsidRDefault="00721EF8" w:rsidP="00815046">
      <w:pPr>
        <w:jc w:val="both"/>
        <w:rPr>
          <w:lang w:eastAsia="en-GB"/>
        </w:rPr>
      </w:pPr>
    </w:p>
    <w:p w:rsidR="00721EF8" w:rsidRDefault="00721EF8" w:rsidP="00815046">
      <w:pPr>
        <w:pStyle w:val="ListParagraph"/>
        <w:numPr>
          <w:ilvl w:val="0"/>
          <w:numId w:val="45"/>
        </w:numPr>
        <w:jc w:val="both"/>
        <w:rPr>
          <w:lang w:eastAsia="en-GB"/>
        </w:rPr>
      </w:pPr>
      <w:r>
        <w:rPr>
          <w:lang w:eastAsia="en-GB"/>
        </w:rPr>
        <w:t xml:space="preserve">Apart from attendance at Health and Social Care Overview Panels and at Health and Well-Being Boards, NHSE (London) also provides assurance on the delivery and performance of immunisation programmes via quarterly meetings of </w:t>
      </w:r>
      <w:r w:rsidR="006A6D55" w:rsidRPr="00721EF8">
        <w:rPr>
          <w:lang w:eastAsia="en-GB"/>
        </w:rPr>
        <w:t>Immunisation Performa</w:t>
      </w:r>
      <w:r>
        <w:rPr>
          <w:lang w:eastAsia="en-GB"/>
        </w:rPr>
        <w:t>nce and Quality Boards.  There is one for</w:t>
      </w:r>
      <w:r w:rsidR="006A6D55" w:rsidRPr="00721EF8">
        <w:rPr>
          <w:lang w:eastAsia="en-GB"/>
        </w:rPr>
        <w:t xml:space="preserve"> each</w:t>
      </w:r>
      <w:r>
        <w:rPr>
          <w:lang w:eastAsia="en-GB"/>
        </w:rPr>
        <w:t xml:space="preserve"> </w:t>
      </w:r>
      <w:r w:rsidR="006A6D55" w:rsidRPr="00721EF8">
        <w:rPr>
          <w:lang w:eastAsia="en-GB"/>
        </w:rPr>
        <w:t>S</w:t>
      </w:r>
      <w:r>
        <w:rPr>
          <w:lang w:eastAsia="en-GB"/>
        </w:rPr>
        <w:t>trategic Transformation Partnership (S</w:t>
      </w:r>
      <w:r w:rsidR="006A6D55" w:rsidRPr="00721EF8">
        <w:rPr>
          <w:lang w:eastAsia="en-GB"/>
        </w:rPr>
        <w:t>TP</w:t>
      </w:r>
      <w:r>
        <w:rPr>
          <w:lang w:eastAsia="en-GB"/>
        </w:rPr>
        <w:t>)</w:t>
      </w:r>
      <w:r w:rsidR="006A6D55" w:rsidRPr="00721EF8">
        <w:rPr>
          <w:lang w:eastAsia="en-GB"/>
        </w:rPr>
        <w:t xml:space="preserve"> footprint. The purpose of these meetings is to quality assure and assess the performance of all Section 7a Immunisation Programmes across the STP in line with Public Health England (PHE) standards, recommendations and section 7a service specifications as prepared by PHE with NHS England commissioning.  All partners are invited to this scrutiny meeting, including colleagues from the Local Authority, CCG, CHIS, NHSE, PHE Health Protection and Community Provider service leads.</w:t>
      </w:r>
      <w:r>
        <w:rPr>
          <w:lang w:eastAsia="en-GB"/>
        </w:rPr>
        <w:t xml:space="preserve"> Data for </w:t>
      </w:r>
      <w:r w:rsidR="00E3016F">
        <w:rPr>
          <w:lang w:eastAsia="en-GB"/>
        </w:rPr>
        <w:t>Harrow</w:t>
      </w:r>
      <w:r>
        <w:rPr>
          <w:lang w:eastAsia="en-GB"/>
        </w:rPr>
        <w:t xml:space="preserve"> is covered in the NWL STP Immunisation Performance and Quality Boards.  </w:t>
      </w:r>
    </w:p>
    <w:p w:rsidR="00721EF8" w:rsidRPr="00721EF8" w:rsidRDefault="00721EF8" w:rsidP="00815046">
      <w:pPr>
        <w:jc w:val="both"/>
        <w:rPr>
          <w:lang w:eastAsia="en-GB"/>
        </w:rPr>
      </w:pPr>
    </w:p>
    <w:p w:rsidR="006A6D55" w:rsidRDefault="00721EF8" w:rsidP="00815046">
      <w:pPr>
        <w:pStyle w:val="ListParagraph"/>
        <w:numPr>
          <w:ilvl w:val="0"/>
          <w:numId w:val="45"/>
        </w:numPr>
        <w:jc w:val="both"/>
        <w:rPr>
          <w:lang w:eastAsia="en-GB"/>
        </w:rPr>
      </w:pPr>
      <w:r>
        <w:rPr>
          <w:lang w:eastAsia="en-GB"/>
        </w:rPr>
        <w:t xml:space="preserve">Directors of Public Health across London also receive quarterly reports from the London Immunisation Partnership and updates via the Association of Directors of Public Health.  It is through these communication channels that progress on the Bi-annual London Immunisation Plan (2017-19) and its accompanying annual Flu Plans are shared.   </w:t>
      </w:r>
    </w:p>
    <w:p w:rsidR="008B6D5B" w:rsidRPr="00721EF8" w:rsidRDefault="008B6D5B" w:rsidP="00815046">
      <w:pPr>
        <w:jc w:val="both"/>
        <w:rPr>
          <w:lang w:eastAsia="en-GB"/>
        </w:rPr>
      </w:pPr>
    </w:p>
    <w:p w:rsidR="00F81EC5" w:rsidRDefault="00F81EC5" w:rsidP="00815046">
      <w:pPr>
        <w:pStyle w:val="Heading1"/>
        <w:jc w:val="both"/>
      </w:pPr>
      <w:bookmarkStart w:id="6" w:name="_Toc531010358"/>
      <w:r>
        <w:t>Headlines</w:t>
      </w:r>
      <w:r w:rsidR="008D58DD">
        <w:t xml:space="preserve"> for London</w:t>
      </w:r>
      <w:bookmarkEnd w:id="6"/>
    </w:p>
    <w:p w:rsidR="00F81EC5" w:rsidRDefault="00F81EC5" w:rsidP="00815046">
      <w:pPr>
        <w:jc w:val="both"/>
      </w:pPr>
    </w:p>
    <w:p w:rsidR="00F81EC5" w:rsidRDefault="00721EF8" w:rsidP="00815046">
      <w:pPr>
        <w:pStyle w:val="ListParagraph"/>
        <w:numPr>
          <w:ilvl w:val="0"/>
          <w:numId w:val="13"/>
        </w:numPr>
        <w:jc w:val="both"/>
      </w:pPr>
      <w:r>
        <w:t xml:space="preserve">Historically and currently, </w:t>
      </w:r>
      <w:r w:rsidR="00F81EC5">
        <w:t>London performs lower than national (England) averages across all the immunisation programmes.</w:t>
      </w:r>
      <w:r>
        <w:t xml:space="preserve"> </w:t>
      </w:r>
    </w:p>
    <w:p w:rsidR="00F81EC5" w:rsidRDefault="00F81EC5" w:rsidP="00815046">
      <w:pPr>
        <w:pStyle w:val="ListParagraph"/>
        <w:numPr>
          <w:ilvl w:val="0"/>
          <w:numId w:val="13"/>
        </w:numPr>
        <w:jc w:val="both"/>
      </w:pPr>
      <w:r>
        <w:lastRenderedPageBreak/>
        <w:t xml:space="preserve">London faces challenges in attaining high coverage and uptake of vaccinations due to high population mobility, increasing population, increasing fiscal pressures and demands on health services and a decreasing </w:t>
      </w:r>
      <w:r w:rsidR="00721EF8">
        <w:t xml:space="preserve">vaccinating </w:t>
      </w:r>
      <w:r>
        <w:t>workforce.</w:t>
      </w:r>
    </w:p>
    <w:p w:rsidR="00F81EC5" w:rsidRDefault="00F81EC5" w:rsidP="00815046">
      <w:pPr>
        <w:pStyle w:val="ListParagraph"/>
        <w:numPr>
          <w:ilvl w:val="0"/>
          <w:numId w:val="13"/>
        </w:numPr>
        <w:jc w:val="both"/>
      </w:pPr>
      <w:r>
        <w:t>Und</w:t>
      </w:r>
      <w:r w:rsidR="00721EF8">
        <w:t>er the London Immunisation Partnership (formerly the London Immunisation Board), NHS England London Region (NHSE London)</w:t>
      </w:r>
      <w:r>
        <w:t xml:space="preserve"> and P</w:t>
      </w:r>
      <w:r w:rsidR="00721EF8">
        <w:t>ublic Health England London Region (P</w:t>
      </w:r>
      <w:r>
        <w:t>HE</w:t>
      </w:r>
      <w:r w:rsidR="00721EF8">
        <w:t xml:space="preserve"> London)</w:t>
      </w:r>
      <w:r>
        <w:t xml:space="preserve"> seek to ensure that the London population are protected from vaccine preventable diseases and are working in partnership with local authorities, CCGs and other partners to increase equity in access to vaccination services and to reduce health inequalities in relation to immunisations.  </w:t>
      </w:r>
    </w:p>
    <w:p w:rsidR="0064147C" w:rsidRDefault="0064147C" w:rsidP="00815046">
      <w:pPr>
        <w:pStyle w:val="ListParagraph"/>
        <w:jc w:val="both"/>
      </w:pPr>
    </w:p>
    <w:p w:rsidR="0064147C" w:rsidRPr="00F81EC5" w:rsidRDefault="0064147C" w:rsidP="00815046">
      <w:pPr>
        <w:pStyle w:val="ListParagraph"/>
        <w:jc w:val="both"/>
      </w:pPr>
    </w:p>
    <w:p w:rsidR="00AB18F3" w:rsidRPr="000D5939" w:rsidRDefault="00C01C87" w:rsidP="00815046">
      <w:pPr>
        <w:pStyle w:val="Heading1"/>
        <w:jc w:val="both"/>
      </w:pPr>
      <w:bookmarkStart w:id="7" w:name="_Toc531010359"/>
      <w:r>
        <w:t>Routine Childhood Immunisation Programme (0-5 years)</w:t>
      </w:r>
      <w:bookmarkEnd w:id="7"/>
    </w:p>
    <w:p w:rsidR="00AB18F3" w:rsidRDefault="00AB18F3" w:rsidP="00815046">
      <w:pPr>
        <w:jc w:val="both"/>
      </w:pPr>
    </w:p>
    <w:p w:rsidR="00952902" w:rsidRDefault="009E4847" w:rsidP="00815046">
      <w:pPr>
        <w:pStyle w:val="Heading2"/>
        <w:jc w:val="both"/>
      </w:pPr>
      <w:r>
        <w:t xml:space="preserve"> </w:t>
      </w:r>
      <w:bookmarkStart w:id="8" w:name="_Toc531010360"/>
      <w:r w:rsidR="008B6D5B">
        <w:t>The routine schedule for 0-5s</w:t>
      </w:r>
      <w:bookmarkEnd w:id="8"/>
    </w:p>
    <w:p w:rsidR="002423D5" w:rsidRDefault="002423D5" w:rsidP="00815046">
      <w:pPr>
        <w:tabs>
          <w:tab w:val="left" w:pos="851"/>
        </w:tabs>
        <w:ind w:left="360"/>
        <w:jc w:val="both"/>
        <w:rPr>
          <w:rFonts w:cs="Arial"/>
          <w:szCs w:val="24"/>
        </w:rPr>
      </w:pPr>
    </w:p>
    <w:p w:rsidR="006D157D" w:rsidRDefault="006D157D" w:rsidP="00815046">
      <w:pPr>
        <w:numPr>
          <w:ilvl w:val="0"/>
          <w:numId w:val="3"/>
        </w:numPr>
        <w:tabs>
          <w:tab w:val="left" w:pos="851"/>
        </w:tabs>
        <w:jc w:val="both"/>
        <w:rPr>
          <w:rFonts w:cs="Arial"/>
          <w:szCs w:val="24"/>
        </w:rPr>
      </w:pPr>
      <w:r>
        <w:rPr>
          <w:rFonts w:cs="Arial"/>
          <w:szCs w:val="24"/>
        </w:rPr>
        <w:t>T</w:t>
      </w:r>
      <w:r w:rsidR="008B6D5B">
        <w:rPr>
          <w:rFonts w:cs="Arial"/>
          <w:szCs w:val="24"/>
        </w:rPr>
        <w:t>he routine childhood immunisation programme</w:t>
      </w:r>
      <w:r>
        <w:rPr>
          <w:rFonts w:cs="Arial"/>
          <w:szCs w:val="24"/>
        </w:rPr>
        <w:t xml:space="preserve"> protect against:</w:t>
      </w:r>
    </w:p>
    <w:p w:rsidR="006D157D" w:rsidRPr="00A74DAE" w:rsidRDefault="006D157D" w:rsidP="00815046">
      <w:pPr>
        <w:pStyle w:val="ListParagraph"/>
        <w:numPr>
          <w:ilvl w:val="1"/>
          <w:numId w:val="3"/>
        </w:numPr>
        <w:tabs>
          <w:tab w:val="left" w:pos="851"/>
        </w:tabs>
        <w:jc w:val="both"/>
        <w:rPr>
          <w:rFonts w:cs="Arial"/>
          <w:szCs w:val="24"/>
        </w:rPr>
      </w:pPr>
      <w:r w:rsidRPr="006D157D">
        <w:rPr>
          <w:rFonts w:cs="Arial"/>
          <w:szCs w:val="24"/>
        </w:rPr>
        <w:t>Diphtheria, Tetanus, Pertussis (whooping cough), Polio, Haemophilus</w:t>
      </w:r>
    </w:p>
    <w:p w:rsidR="006D157D" w:rsidRPr="0079347A" w:rsidRDefault="006D157D" w:rsidP="00815046">
      <w:pPr>
        <w:pStyle w:val="ListParagraph"/>
        <w:tabs>
          <w:tab w:val="left" w:pos="851"/>
        </w:tabs>
        <w:ind w:left="1440"/>
        <w:jc w:val="both"/>
        <w:rPr>
          <w:rFonts w:cs="Arial"/>
          <w:szCs w:val="24"/>
        </w:rPr>
      </w:pPr>
      <w:r w:rsidRPr="00E83770">
        <w:rPr>
          <w:rFonts w:cs="Arial"/>
          <w:szCs w:val="24"/>
        </w:rPr>
        <w:t>influenza type b (</w:t>
      </w:r>
      <w:r w:rsidRPr="00F03720">
        <w:rPr>
          <w:rFonts w:cs="Arial"/>
          <w:szCs w:val="24"/>
        </w:rPr>
        <w:t>give</w:t>
      </w:r>
      <w:r w:rsidR="008B6D5B">
        <w:rPr>
          <w:rFonts w:cs="Arial"/>
          <w:szCs w:val="24"/>
        </w:rPr>
        <w:t>n</w:t>
      </w:r>
      <w:r w:rsidRPr="00F03720">
        <w:rPr>
          <w:rFonts w:cs="Arial"/>
          <w:szCs w:val="24"/>
        </w:rPr>
        <w:t xml:space="preserve"> as </w:t>
      </w:r>
      <w:r w:rsidRPr="00E7061C">
        <w:rPr>
          <w:rFonts w:cs="Arial"/>
          <w:szCs w:val="24"/>
        </w:rPr>
        <w:t xml:space="preserve">the </w:t>
      </w:r>
      <w:r w:rsidRPr="007E4B13">
        <w:rPr>
          <w:rFonts w:cs="Arial"/>
          <w:szCs w:val="24"/>
        </w:rPr>
        <w:t>‘</w:t>
      </w:r>
      <w:r w:rsidR="00025122">
        <w:rPr>
          <w:rFonts w:cs="Arial"/>
          <w:szCs w:val="24"/>
        </w:rPr>
        <w:t>6</w:t>
      </w:r>
      <w:r w:rsidRPr="0079347A">
        <w:rPr>
          <w:rFonts w:cs="Arial"/>
          <w:szCs w:val="24"/>
        </w:rPr>
        <w:t xml:space="preserve"> in 1’ </w:t>
      </w:r>
      <w:proofErr w:type="spellStart"/>
      <w:r w:rsidRPr="0079347A">
        <w:rPr>
          <w:rFonts w:cs="Arial"/>
          <w:szCs w:val="24"/>
        </w:rPr>
        <w:t>DTaP</w:t>
      </w:r>
      <w:proofErr w:type="spellEnd"/>
      <w:r w:rsidRPr="0079347A">
        <w:rPr>
          <w:rFonts w:cs="Arial"/>
          <w:szCs w:val="24"/>
        </w:rPr>
        <w:t>/IPV/Hib</w:t>
      </w:r>
      <w:r w:rsidR="00025122">
        <w:rPr>
          <w:rFonts w:cs="Arial"/>
          <w:szCs w:val="24"/>
        </w:rPr>
        <w:t>/</w:t>
      </w:r>
      <w:proofErr w:type="spellStart"/>
      <w:r w:rsidR="00025122">
        <w:rPr>
          <w:rFonts w:cs="Arial"/>
          <w:szCs w:val="24"/>
        </w:rPr>
        <w:t>HepB</w:t>
      </w:r>
      <w:proofErr w:type="spellEnd"/>
      <w:r w:rsidRPr="0079347A">
        <w:rPr>
          <w:rFonts w:cs="Arial"/>
          <w:szCs w:val="24"/>
        </w:rPr>
        <w:t xml:space="preserve"> vaccine)</w:t>
      </w:r>
    </w:p>
    <w:p w:rsidR="006D157D" w:rsidRPr="0079347A" w:rsidRDefault="006D157D" w:rsidP="00815046">
      <w:pPr>
        <w:pStyle w:val="ListParagraph"/>
        <w:numPr>
          <w:ilvl w:val="1"/>
          <w:numId w:val="3"/>
        </w:numPr>
        <w:tabs>
          <w:tab w:val="left" w:pos="851"/>
        </w:tabs>
        <w:jc w:val="both"/>
        <w:rPr>
          <w:rFonts w:cs="Arial"/>
          <w:szCs w:val="24"/>
        </w:rPr>
      </w:pPr>
      <w:r w:rsidRPr="0079347A">
        <w:rPr>
          <w:rFonts w:cs="Arial"/>
          <w:szCs w:val="24"/>
        </w:rPr>
        <w:t>Pneumococcal disease, (PCV)</w:t>
      </w:r>
    </w:p>
    <w:p w:rsidR="006D157D" w:rsidRDefault="006D157D" w:rsidP="00815046">
      <w:pPr>
        <w:pStyle w:val="ListParagraph"/>
        <w:numPr>
          <w:ilvl w:val="1"/>
          <w:numId w:val="3"/>
        </w:numPr>
        <w:tabs>
          <w:tab w:val="left" w:pos="851"/>
        </w:tabs>
        <w:jc w:val="both"/>
        <w:rPr>
          <w:rFonts w:cs="Arial"/>
          <w:szCs w:val="24"/>
        </w:rPr>
      </w:pPr>
      <w:r w:rsidRPr="0079347A">
        <w:rPr>
          <w:rFonts w:cs="Arial"/>
          <w:szCs w:val="24"/>
        </w:rPr>
        <w:t>Mening</w:t>
      </w:r>
      <w:r w:rsidR="00025122">
        <w:rPr>
          <w:rFonts w:cs="Arial"/>
          <w:szCs w:val="24"/>
        </w:rPr>
        <w:t>ococcal group C disease (Men C)</w:t>
      </w:r>
    </w:p>
    <w:p w:rsidR="008B6D5B" w:rsidRPr="0079347A" w:rsidRDefault="008B6D5B" w:rsidP="00815046">
      <w:pPr>
        <w:pStyle w:val="ListParagraph"/>
        <w:numPr>
          <w:ilvl w:val="1"/>
          <w:numId w:val="3"/>
        </w:numPr>
        <w:tabs>
          <w:tab w:val="left" w:pos="851"/>
        </w:tabs>
        <w:jc w:val="both"/>
        <w:rPr>
          <w:rFonts w:cs="Arial"/>
          <w:szCs w:val="24"/>
        </w:rPr>
      </w:pPr>
      <w:r>
        <w:rPr>
          <w:rFonts w:cs="Arial"/>
          <w:szCs w:val="24"/>
        </w:rPr>
        <w:t>Meningococcal group B disease</w:t>
      </w:r>
    </w:p>
    <w:p w:rsidR="006D157D" w:rsidRPr="0079347A" w:rsidRDefault="006D157D" w:rsidP="00815046">
      <w:pPr>
        <w:pStyle w:val="ListParagraph"/>
        <w:numPr>
          <w:ilvl w:val="1"/>
          <w:numId w:val="3"/>
        </w:numPr>
        <w:tabs>
          <w:tab w:val="left" w:pos="851"/>
        </w:tabs>
        <w:jc w:val="both"/>
        <w:rPr>
          <w:rFonts w:cs="Arial"/>
          <w:szCs w:val="24"/>
        </w:rPr>
      </w:pPr>
      <w:r w:rsidRPr="0079347A">
        <w:rPr>
          <w:rFonts w:cs="Arial"/>
          <w:szCs w:val="24"/>
        </w:rPr>
        <w:t>Measles, mumps and rubella (MMR)</w:t>
      </w:r>
    </w:p>
    <w:p w:rsidR="009E4847" w:rsidRDefault="009E4847" w:rsidP="00815046">
      <w:pPr>
        <w:tabs>
          <w:tab w:val="left" w:pos="851"/>
        </w:tabs>
        <w:ind w:left="720"/>
        <w:jc w:val="both"/>
        <w:rPr>
          <w:rFonts w:cs="Arial"/>
          <w:szCs w:val="24"/>
        </w:rPr>
      </w:pPr>
    </w:p>
    <w:p w:rsidR="008B6D5B" w:rsidRDefault="008B6D5B" w:rsidP="00815046">
      <w:pPr>
        <w:numPr>
          <w:ilvl w:val="0"/>
          <w:numId w:val="3"/>
        </w:numPr>
        <w:tabs>
          <w:tab w:val="left" w:pos="851"/>
        </w:tabs>
        <w:jc w:val="both"/>
        <w:rPr>
          <w:rFonts w:cs="Arial"/>
          <w:szCs w:val="24"/>
        </w:rPr>
      </w:pPr>
      <w:r w:rsidRPr="008B6D5B">
        <w:rPr>
          <w:rFonts w:cs="Arial"/>
          <w:szCs w:val="24"/>
        </w:rPr>
        <w:t xml:space="preserve">Children aged 1 year should have received 3 doses of 6 in 1 (called the primaries) and 2 doses of Men B. </w:t>
      </w:r>
      <w:r>
        <w:rPr>
          <w:rFonts w:cs="Arial"/>
          <w:szCs w:val="24"/>
        </w:rPr>
        <w:t xml:space="preserve"> If eligible, they may also be offered the targeted BCG and Hep B.  </w:t>
      </w:r>
    </w:p>
    <w:p w:rsidR="008B6D5B" w:rsidRDefault="008B6D5B" w:rsidP="00815046">
      <w:pPr>
        <w:tabs>
          <w:tab w:val="left" w:pos="851"/>
        </w:tabs>
        <w:ind w:left="360"/>
        <w:jc w:val="both"/>
        <w:rPr>
          <w:rFonts w:cs="Arial"/>
          <w:szCs w:val="24"/>
        </w:rPr>
      </w:pPr>
      <w:r w:rsidRPr="008B6D5B">
        <w:rPr>
          <w:rFonts w:cs="Arial"/>
          <w:szCs w:val="24"/>
        </w:rPr>
        <w:t xml:space="preserve"> </w:t>
      </w:r>
    </w:p>
    <w:p w:rsidR="008B6D5B" w:rsidRDefault="008B6D5B" w:rsidP="00815046">
      <w:pPr>
        <w:numPr>
          <w:ilvl w:val="0"/>
          <w:numId w:val="3"/>
        </w:numPr>
        <w:tabs>
          <w:tab w:val="left" w:pos="851"/>
        </w:tabs>
        <w:jc w:val="both"/>
        <w:rPr>
          <w:rFonts w:cs="Arial"/>
          <w:szCs w:val="24"/>
        </w:rPr>
      </w:pPr>
      <w:r w:rsidRPr="008B6D5B">
        <w:rPr>
          <w:rFonts w:cs="Arial"/>
          <w:szCs w:val="24"/>
        </w:rPr>
        <w:t xml:space="preserve">At 12 months, they are offered first dose of MMR and the boosters of PCV, Hib/Men C and </w:t>
      </w:r>
      <w:r>
        <w:rPr>
          <w:rFonts w:cs="Arial"/>
          <w:szCs w:val="24"/>
        </w:rPr>
        <w:t xml:space="preserve">Men B.  </w:t>
      </w:r>
    </w:p>
    <w:p w:rsidR="008B6D5B" w:rsidRDefault="008B6D5B" w:rsidP="00815046">
      <w:pPr>
        <w:pStyle w:val="ListParagraph"/>
        <w:jc w:val="both"/>
        <w:rPr>
          <w:rFonts w:cs="Arial"/>
          <w:szCs w:val="24"/>
        </w:rPr>
      </w:pPr>
    </w:p>
    <w:p w:rsidR="008B6D5B" w:rsidRDefault="008B6D5B" w:rsidP="00815046">
      <w:pPr>
        <w:numPr>
          <w:ilvl w:val="0"/>
          <w:numId w:val="3"/>
        </w:numPr>
        <w:tabs>
          <w:tab w:val="left" w:pos="851"/>
        </w:tabs>
        <w:jc w:val="both"/>
        <w:rPr>
          <w:rFonts w:cs="Arial"/>
          <w:szCs w:val="24"/>
        </w:rPr>
      </w:pPr>
      <w:r>
        <w:rPr>
          <w:rFonts w:cs="Arial"/>
          <w:szCs w:val="24"/>
        </w:rPr>
        <w:t xml:space="preserve">At 2 years and again at 3 years, children are offered annual child influenza vaccine. </w:t>
      </w:r>
    </w:p>
    <w:p w:rsidR="008B6D5B" w:rsidRDefault="008B6D5B" w:rsidP="00815046">
      <w:pPr>
        <w:pStyle w:val="ListParagraph"/>
        <w:jc w:val="both"/>
        <w:rPr>
          <w:rFonts w:cs="Arial"/>
          <w:szCs w:val="24"/>
        </w:rPr>
      </w:pPr>
    </w:p>
    <w:p w:rsidR="008B6D5B" w:rsidRDefault="008B6D5B" w:rsidP="00815046">
      <w:pPr>
        <w:numPr>
          <w:ilvl w:val="0"/>
          <w:numId w:val="3"/>
        </w:numPr>
        <w:tabs>
          <w:tab w:val="left" w:pos="851"/>
        </w:tabs>
        <w:jc w:val="both"/>
        <w:rPr>
          <w:rFonts w:cs="Arial"/>
          <w:szCs w:val="24"/>
        </w:rPr>
      </w:pPr>
      <w:r>
        <w:rPr>
          <w:rFonts w:cs="Arial"/>
          <w:szCs w:val="24"/>
        </w:rPr>
        <w:t>From 3 years 4 months to 5 years, children are offered 2</w:t>
      </w:r>
      <w:r w:rsidRPr="008B6D5B">
        <w:rPr>
          <w:rFonts w:cs="Arial"/>
          <w:szCs w:val="24"/>
          <w:vertAlign w:val="superscript"/>
        </w:rPr>
        <w:t>nd</w:t>
      </w:r>
      <w:r>
        <w:rPr>
          <w:rFonts w:cs="Arial"/>
          <w:szCs w:val="24"/>
        </w:rPr>
        <w:t xml:space="preserve"> dose of MMR and preschool booster (which is the fourth dose of the diphtheria/tetanus/pertussis/polio course).  </w:t>
      </w:r>
    </w:p>
    <w:p w:rsidR="00DB19A5" w:rsidRDefault="00DB19A5" w:rsidP="00DB19A5">
      <w:pPr>
        <w:tabs>
          <w:tab w:val="left" w:pos="851"/>
        </w:tabs>
        <w:jc w:val="both"/>
        <w:rPr>
          <w:rFonts w:cs="Arial"/>
          <w:szCs w:val="24"/>
        </w:rPr>
      </w:pPr>
    </w:p>
    <w:p w:rsidR="008B6D5B" w:rsidRDefault="008B6D5B" w:rsidP="00815046">
      <w:pPr>
        <w:tabs>
          <w:tab w:val="left" w:pos="851"/>
        </w:tabs>
        <w:jc w:val="both"/>
        <w:rPr>
          <w:rFonts w:cs="Arial"/>
          <w:szCs w:val="24"/>
        </w:rPr>
      </w:pPr>
    </w:p>
    <w:p w:rsidR="008B6D5B" w:rsidRPr="005C5EAF" w:rsidRDefault="00E3016F" w:rsidP="00815046">
      <w:pPr>
        <w:pStyle w:val="Heading2"/>
        <w:jc w:val="both"/>
      </w:pPr>
      <w:bookmarkStart w:id="9" w:name="_Toc531010361"/>
      <w:r w:rsidRPr="005C5EAF">
        <w:t>Harrow</w:t>
      </w:r>
      <w:r w:rsidR="00645907" w:rsidRPr="005C5EAF">
        <w:t xml:space="preserve"> and the challenges</w:t>
      </w:r>
      <w:bookmarkEnd w:id="9"/>
    </w:p>
    <w:p w:rsidR="00140769" w:rsidRDefault="00140769" w:rsidP="00DB19A5">
      <w:pPr>
        <w:tabs>
          <w:tab w:val="left" w:pos="851"/>
        </w:tabs>
        <w:jc w:val="both"/>
        <w:rPr>
          <w:rFonts w:cs="Arial"/>
          <w:szCs w:val="24"/>
        </w:rPr>
      </w:pPr>
    </w:p>
    <w:p w:rsidR="00F07907" w:rsidRDefault="00E3016F" w:rsidP="00815046">
      <w:pPr>
        <w:pStyle w:val="ListParagraph"/>
        <w:numPr>
          <w:ilvl w:val="0"/>
          <w:numId w:val="3"/>
        </w:numPr>
        <w:contextualSpacing w:val="0"/>
        <w:jc w:val="both"/>
        <w:rPr>
          <w:rFonts w:cs="Arial"/>
          <w:szCs w:val="24"/>
        </w:rPr>
      </w:pPr>
      <w:r>
        <w:rPr>
          <w:rFonts w:cs="Arial"/>
          <w:szCs w:val="24"/>
        </w:rPr>
        <w:t>Harrow</w:t>
      </w:r>
      <w:r w:rsidR="00645907">
        <w:rPr>
          <w:rFonts w:cs="Arial"/>
          <w:szCs w:val="24"/>
        </w:rPr>
        <w:t xml:space="preserve"> is affected by the same challenges that face </w:t>
      </w:r>
      <w:r w:rsidR="00C85184">
        <w:rPr>
          <w:rFonts w:cs="Arial"/>
          <w:szCs w:val="24"/>
        </w:rPr>
        <w:t xml:space="preserve">the </w:t>
      </w:r>
      <w:r w:rsidR="00645907">
        <w:rPr>
          <w:rFonts w:cs="Arial"/>
          <w:szCs w:val="24"/>
        </w:rPr>
        <w:t xml:space="preserve">London region.  </w:t>
      </w:r>
      <w:r w:rsidR="00952902" w:rsidRPr="00952902">
        <w:rPr>
          <w:rFonts w:cs="Arial"/>
          <w:szCs w:val="24"/>
        </w:rPr>
        <w:t>London has in recent years delivered significantly poorer uptake than the remainder of</w:t>
      </w:r>
      <w:r w:rsidR="00F07907">
        <w:rPr>
          <w:rFonts w:cs="Arial"/>
          <w:szCs w:val="24"/>
        </w:rPr>
        <w:t xml:space="preserve"> the country.  Reasons for the low coverage include: </w:t>
      </w:r>
    </w:p>
    <w:p w:rsidR="00F07907" w:rsidRPr="00F07907" w:rsidRDefault="00F07907" w:rsidP="00815046">
      <w:pPr>
        <w:pStyle w:val="ListParagraph"/>
        <w:jc w:val="both"/>
        <w:rPr>
          <w:rFonts w:cs="Arial"/>
          <w:szCs w:val="24"/>
        </w:rPr>
      </w:pPr>
    </w:p>
    <w:p w:rsidR="00F07907" w:rsidRDefault="00952902" w:rsidP="00815046">
      <w:pPr>
        <w:pStyle w:val="ListParagraph"/>
        <w:numPr>
          <w:ilvl w:val="1"/>
          <w:numId w:val="3"/>
        </w:numPr>
        <w:contextualSpacing w:val="0"/>
        <w:jc w:val="both"/>
        <w:rPr>
          <w:rFonts w:cs="Arial"/>
          <w:szCs w:val="24"/>
        </w:rPr>
      </w:pPr>
      <w:r w:rsidRPr="00952902">
        <w:rPr>
          <w:rFonts w:cs="Arial"/>
          <w:szCs w:val="24"/>
        </w:rPr>
        <w:lastRenderedPageBreak/>
        <w:t xml:space="preserve">the increasing birth rate in London which results in a growing 0-5 population and puts pressure on existing resources such as GP practices, </w:t>
      </w:r>
    </w:p>
    <w:p w:rsidR="00F07907" w:rsidRDefault="00952902" w:rsidP="00815046">
      <w:pPr>
        <w:pStyle w:val="ListParagraph"/>
        <w:numPr>
          <w:ilvl w:val="1"/>
          <w:numId w:val="3"/>
        </w:numPr>
        <w:contextualSpacing w:val="0"/>
        <w:jc w:val="both"/>
        <w:rPr>
          <w:rFonts w:cs="Arial"/>
          <w:szCs w:val="24"/>
        </w:rPr>
      </w:pPr>
      <w:r w:rsidRPr="00952902">
        <w:rPr>
          <w:rFonts w:cs="Arial"/>
          <w:szCs w:val="24"/>
        </w:rPr>
        <w:t>London’s high population mobility</w:t>
      </w:r>
      <w:r w:rsidR="00F07907">
        <w:rPr>
          <w:rFonts w:cs="Arial"/>
          <w:szCs w:val="24"/>
        </w:rPr>
        <w:t xml:space="preserve"> which affects data collection and accuracy</w:t>
      </w:r>
      <w:r w:rsidRPr="00952902">
        <w:rPr>
          <w:rFonts w:cs="Arial"/>
          <w:szCs w:val="24"/>
        </w:rPr>
        <w:t xml:space="preserve">, </w:t>
      </w:r>
    </w:p>
    <w:p w:rsidR="00F07907" w:rsidRDefault="00F07907" w:rsidP="00815046">
      <w:pPr>
        <w:pStyle w:val="ListParagraph"/>
        <w:numPr>
          <w:ilvl w:val="1"/>
          <w:numId w:val="3"/>
        </w:numPr>
        <w:contextualSpacing w:val="0"/>
        <w:jc w:val="both"/>
        <w:rPr>
          <w:rFonts w:cs="Arial"/>
          <w:szCs w:val="24"/>
        </w:rPr>
      </w:pPr>
      <w:r>
        <w:rPr>
          <w:rFonts w:cs="Arial"/>
          <w:szCs w:val="24"/>
        </w:rPr>
        <w:t>Inconsistent patient invite/reminder (call-recall) systems across London</w:t>
      </w:r>
    </w:p>
    <w:p w:rsidR="00F07907" w:rsidRDefault="00F07907" w:rsidP="00815046">
      <w:pPr>
        <w:pStyle w:val="ListParagraph"/>
        <w:numPr>
          <w:ilvl w:val="1"/>
          <w:numId w:val="3"/>
        </w:numPr>
        <w:contextualSpacing w:val="0"/>
        <w:jc w:val="both"/>
        <w:rPr>
          <w:rFonts w:cs="Arial"/>
          <w:szCs w:val="24"/>
        </w:rPr>
      </w:pPr>
      <w:r>
        <w:rPr>
          <w:rFonts w:cs="Arial"/>
          <w:szCs w:val="24"/>
        </w:rPr>
        <w:t>Declining vaccinating workforce</w:t>
      </w:r>
    </w:p>
    <w:p w:rsidR="008B6D5B" w:rsidRDefault="00F07907" w:rsidP="00815046">
      <w:pPr>
        <w:pStyle w:val="ListParagraph"/>
        <w:numPr>
          <w:ilvl w:val="1"/>
          <w:numId w:val="3"/>
        </w:numPr>
        <w:contextualSpacing w:val="0"/>
        <w:jc w:val="both"/>
        <w:rPr>
          <w:rFonts w:cs="Arial"/>
          <w:szCs w:val="24"/>
        </w:rPr>
      </w:pPr>
      <w:r>
        <w:rPr>
          <w:rFonts w:cs="Arial"/>
          <w:szCs w:val="24"/>
        </w:rPr>
        <w:t>Increasing competing health priorities for general practice</w:t>
      </w:r>
      <w:r w:rsidR="00952902" w:rsidRPr="00952902">
        <w:rPr>
          <w:rFonts w:cs="Arial"/>
          <w:szCs w:val="24"/>
        </w:rPr>
        <w:t xml:space="preserve">  </w:t>
      </w:r>
    </w:p>
    <w:p w:rsidR="008B6D5B" w:rsidRPr="008B6D5B" w:rsidRDefault="008B6D5B" w:rsidP="00815046">
      <w:pPr>
        <w:pStyle w:val="ListParagraph"/>
        <w:jc w:val="both"/>
        <w:rPr>
          <w:rFonts w:cs="Arial"/>
          <w:szCs w:val="24"/>
        </w:rPr>
      </w:pPr>
    </w:p>
    <w:p w:rsidR="008B6D5B" w:rsidRPr="00BE6EFA" w:rsidRDefault="00F07907" w:rsidP="00815046">
      <w:pPr>
        <w:pStyle w:val="ListParagraph"/>
        <w:numPr>
          <w:ilvl w:val="0"/>
          <w:numId w:val="3"/>
        </w:numPr>
        <w:contextualSpacing w:val="0"/>
        <w:jc w:val="both"/>
        <w:rPr>
          <w:rFonts w:cs="Arial"/>
          <w:szCs w:val="24"/>
        </w:rPr>
      </w:pPr>
      <w:r>
        <w:rPr>
          <w:rFonts w:cs="Arial"/>
          <w:szCs w:val="24"/>
        </w:rPr>
        <w:t>London’s high population turnover is a big factor.  There</w:t>
      </w:r>
      <w:r w:rsidR="00952902" w:rsidRPr="00952902">
        <w:rPr>
          <w:rFonts w:cs="Arial"/>
          <w:szCs w:val="24"/>
        </w:rPr>
        <w:t xml:space="preserve"> is a 20-40% annual turnover on GP patient lists which affects the accuracy of the denominator for COVER submissions, </w:t>
      </w:r>
      <w:r w:rsidR="00952902" w:rsidRPr="00BE6EFA">
        <w:rPr>
          <w:rFonts w:cs="Arial"/>
          <w:szCs w:val="24"/>
        </w:rPr>
        <w:t xml:space="preserve">which in </w:t>
      </w:r>
      <w:r w:rsidR="00E3016F" w:rsidRPr="00BE6EFA">
        <w:rPr>
          <w:rFonts w:cs="Arial"/>
          <w:szCs w:val="24"/>
        </w:rPr>
        <w:t>Harrow</w:t>
      </w:r>
      <w:r w:rsidR="00952902" w:rsidRPr="00BE6EFA">
        <w:rPr>
          <w:rFonts w:cs="Arial"/>
          <w:szCs w:val="24"/>
        </w:rPr>
        <w:t xml:space="preserve">’s case inflates the denominator (i.e. number of children requiring immunisation) resulting in a lower uptake percentage.  </w:t>
      </w:r>
      <w:r w:rsidR="008B6D5B" w:rsidRPr="00BE6EFA">
        <w:rPr>
          <w:rFonts w:cs="Arial"/>
          <w:szCs w:val="24"/>
        </w:rPr>
        <w:t xml:space="preserve">A 2017 audit by London’s CHIS providers showed that by the age of 12 months, 33% of infants moved address at least once.  </w:t>
      </w:r>
    </w:p>
    <w:p w:rsidR="00005D77" w:rsidRPr="00005D77" w:rsidRDefault="00005D77" w:rsidP="00815046">
      <w:pPr>
        <w:pStyle w:val="ListParagraph"/>
        <w:jc w:val="both"/>
        <w:rPr>
          <w:rFonts w:cs="Arial"/>
          <w:szCs w:val="24"/>
        </w:rPr>
      </w:pPr>
    </w:p>
    <w:p w:rsidR="00DC3E65" w:rsidRDefault="00005D77" w:rsidP="00815046">
      <w:pPr>
        <w:pStyle w:val="ListParagraph"/>
        <w:numPr>
          <w:ilvl w:val="0"/>
          <w:numId w:val="3"/>
        </w:numPr>
        <w:contextualSpacing w:val="0"/>
        <w:jc w:val="both"/>
        <w:rPr>
          <w:rFonts w:cs="Arial"/>
          <w:szCs w:val="24"/>
        </w:rPr>
      </w:pPr>
      <w:r>
        <w:rPr>
          <w:rFonts w:cs="Arial"/>
          <w:szCs w:val="24"/>
        </w:rPr>
        <w:t xml:space="preserve">However, despite London’s percentage uptake being lower than other regions, London vaccinates </w:t>
      </w:r>
      <w:r w:rsidR="008A5DEE">
        <w:rPr>
          <w:rFonts w:cs="Arial"/>
          <w:szCs w:val="24"/>
        </w:rPr>
        <w:t xml:space="preserve">almost twice as many 0-5 year olds than any other region.  If you look at MMR2 as an indicator of completion of programme, London reported 79.5% uptake for 2016/17 compared to England’s 87.6%. </w:t>
      </w:r>
      <w:r w:rsidR="00DC3E65" w:rsidRPr="008A5DEE">
        <w:rPr>
          <w:rFonts w:cs="Arial"/>
          <w:szCs w:val="24"/>
        </w:rPr>
        <w:t>We vaccinated 100,293 five year olds with MMR2 in 2016/17, down from 104,031 in 2015/16 but more than any other region – South East</w:t>
      </w:r>
      <w:r w:rsidR="008A5DEE">
        <w:rPr>
          <w:rFonts w:cs="Arial"/>
          <w:szCs w:val="24"/>
        </w:rPr>
        <w:t xml:space="preserve"> (the next biggest region)</w:t>
      </w:r>
      <w:r w:rsidR="00DC3E65" w:rsidRPr="008A5DEE">
        <w:rPr>
          <w:rFonts w:cs="Arial"/>
          <w:szCs w:val="24"/>
        </w:rPr>
        <w:t xml:space="preserve"> vaccinated 99,434 (86.2% coverage)</w:t>
      </w:r>
    </w:p>
    <w:p w:rsidR="00DB19A5" w:rsidRPr="00DB19A5" w:rsidRDefault="00DB19A5" w:rsidP="00DB19A5">
      <w:pPr>
        <w:pStyle w:val="ListParagraph"/>
        <w:rPr>
          <w:rFonts w:cs="Arial"/>
          <w:szCs w:val="24"/>
        </w:rPr>
      </w:pPr>
    </w:p>
    <w:p w:rsidR="00DB19A5" w:rsidRDefault="00DB19A5" w:rsidP="00DB19A5">
      <w:pPr>
        <w:pStyle w:val="ListParagraph"/>
        <w:numPr>
          <w:ilvl w:val="0"/>
          <w:numId w:val="3"/>
        </w:numPr>
        <w:contextualSpacing w:val="0"/>
        <w:jc w:val="both"/>
        <w:rPr>
          <w:rFonts w:cs="Arial"/>
          <w:szCs w:val="24"/>
        </w:rPr>
      </w:pPr>
      <w:r>
        <w:rPr>
          <w:rFonts w:cs="Arial"/>
          <w:szCs w:val="24"/>
        </w:rPr>
        <w:t xml:space="preserve">It could be argued that with a bigger denominator, London has a bigger number of unvaccinated children.  However, only a proportion of these ‘unvaccinated’ children are truly unvaccinated, the others have been vaccinated abroad (there are known difficulties recording these) or within UK (records may not be updated in time for the data extraction).  These vaccinations have not been captured on data systems.  Similarly, there are children who are vaccinated outside the schedule (either early or late) and are not included in the cohorts reported.  </w:t>
      </w:r>
    </w:p>
    <w:p w:rsidR="00DB19A5" w:rsidRPr="00DB19A5" w:rsidRDefault="00DB19A5" w:rsidP="00DB19A5">
      <w:pPr>
        <w:jc w:val="both"/>
        <w:rPr>
          <w:rFonts w:cs="Arial"/>
          <w:szCs w:val="24"/>
        </w:rPr>
      </w:pPr>
    </w:p>
    <w:p w:rsidR="00005D77" w:rsidRDefault="00005D77" w:rsidP="00815046">
      <w:pPr>
        <w:ind w:left="360"/>
        <w:jc w:val="both"/>
        <w:rPr>
          <w:rFonts w:cs="Arial"/>
          <w:szCs w:val="24"/>
        </w:rPr>
      </w:pPr>
    </w:p>
    <w:p w:rsidR="00F07907" w:rsidRDefault="00E3016F" w:rsidP="00815046">
      <w:pPr>
        <w:pStyle w:val="Heading2"/>
        <w:jc w:val="both"/>
      </w:pPr>
      <w:bookmarkStart w:id="10" w:name="_Toc531010362"/>
      <w:r>
        <w:t>Harrow</w:t>
      </w:r>
      <w:r w:rsidR="00F07907">
        <w:t>’s uptake and coverage rates</w:t>
      </w:r>
      <w:bookmarkEnd w:id="10"/>
    </w:p>
    <w:p w:rsidR="00DB19A5" w:rsidRPr="00DB19A5" w:rsidRDefault="00DB19A5" w:rsidP="00DB19A5">
      <w:pPr>
        <w:numPr>
          <w:ilvl w:val="0"/>
          <w:numId w:val="3"/>
        </w:numPr>
        <w:tabs>
          <w:tab w:val="left" w:pos="851"/>
        </w:tabs>
        <w:jc w:val="both"/>
        <w:rPr>
          <w:rFonts w:cs="Arial"/>
          <w:szCs w:val="24"/>
        </w:rPr>
      </w:pPr>
      <w:r w:rsidRPr="008B6D5B">
        <w:rPr>
          <w:rFonts w:cs="Arial"/>
          <w:szCs w:val="24"/>
        </w:rPr>
        <w:t>COVER monitors immunisation coverage data for children in UK who reach their first, second or fifth birthday during each evaluation quarter – e.g. 1</w:t>
      </w:r>
      <w:r w:rsidRPr="008B6D5B">
        <w:rPr>
          <w:rFonts w:cs="Arial"/>
          <w:szCs w:val="24"/>
          <w:vertAlign w:val="superscript"/>
        </w:rPr>
        <w:t>st</w:t>
      </w:r>
      <w:r w:rsidRPr="008B6D5B">
        <w:rPr>
          <w:rFonts w:cs="Arial"/>
          <w:szCs w:val="24"/>
        </w:rPr>
        <w:t xml:space="preserve"> January 2012 to 31</w:t>
      </w:r>
      <w:r w:rsidRPr="008B6D5B">
        <w:rPr>
          <w:rFonts w:cs="Arial"/>
          <w:szCs w:val="24"/>
          <w:vertAlign w:val="superscript"/>
        </w:rPr>
        <w:t>st</w:t>
      </w:r>
      <w:r w:rsidRPr="008B6D5B">
        <w:rPr>
          <w:rFonts w:cs="Arial"/>
          <w:szCs w:val="24"/>
        </w:rPr>
        <w:t xml:space="preserve"> March 2012, 1</w:t>
      </w:r>
      <w:r w:rsidRPr="008B6D5B">
        <w:rPr>
          <w:rFonts w:cs="Arial"/>
          <w:szCs w:val="24"/>
          <w:vertAlign w:val="superscript"/>
        </w:rPr>
        <w:t>st</w:t>
      </w:r>
      <w:r w:rsidRPr="008B6D5B">
        <w:rPr>
          <w:rFonts w:cs="Arial"/>
          <w:szCs w:val="24"/>
        </w:rPr>
        <w:t xml:space="preserve"> April 2012 – 30</w:t>
      </w:r>
      <w:r w:rsidRPr="008B6D5B">
        <w:rPr>
          <w:rFonts w:cs="Arial"/>
          <w:szCs w:val="24"/>
          <w:vertAlign w:val="superscript"/>
        </w:rPr>
        <w:t>th</w:t>
      </w:r>
      <w:r w:rsidRPr="008B6D5B">
        <w:rPr>
          <w:rFonts w:cs="Arial"/>
          <w:szCs w:val="24"/>
        </w:rPr>
        <w:t xml:space="preserve"> June 2012. Children having their first birthday in the quarter should have been vaccinated at 2, 3 and 4 months, those turning 2 should have been vaccinated at 12/13 months and those who are having their 5</w:t>
      </w:r>
      <w:r w:rsidRPr="008B6D5B">
        <w:rPr>
          <w:rFonts w:cs="Arial"/>
          <w:szCs w:val="24"/>
          <w:vertAlign w:val="superscript"/>
        </w:rPr>
        <w:t>th</w:t>
      </w:r>
      <w:r w:rsidRPr="008B6D5B">
        <w:rPr>
          <w:rFonts w:cs="Arial"/>
          <w:szCs w:val="24"/>
        </w:rPr>
        <w:t xml:space="preserve"> birthday should have been vaccinated before 5 years, ideally 3 years 3 months to 4 years.  </w:t>
      </w:r>
    </w:p>
    <w:p w:rsidR="00F07907" w:rsidRPr="00F07907" w:rsidRDefault="00F07907" w:rsidP="00815046">
      <w:pPr>
        <w:ind w:left="360"/>
        <w:jc w:val="both"/>
        <w:rPr>
          <w:rFonts w:cs="Arial"/>
          <w:szCs w:val="24"/>
        </w:rPr>
      </w:pPr>
    </w:p>
    <w:p w:rsidR="00952902" w:rsidRDefault="00952902" w:rsidP="00815046">
      <w:pPr>
        <w:pStyle w:val="ListParagraph"/>
        <w:numPr>
          <w:ilvl w:val="0"/>
          <w:numId w:val="3"/>
        </w:numPr>
        <w:contextualSpacing w:val="0"/>
        <w:jc w:val="both"/>
        <w:rPr>
          <w:rFonts w:cs="Arial"/>
          <w:szCs w:val="24"/>
        </w:rPr>
      </w:pPr>
      <w:r w:rsidRPr="00952902">
        <w:rPr>
          <w:rFonts w:cs="Arial"/>
          <w:szCs w:val="24"/>
        </w:rPr>
        <w:t xml:space="preserve">Like many other London boroughs, </w:t>
      </w:r>
      <w:r w:rsidR="00E3016F">
        <w:rPr>
          <w:rFonts w:cs="Arial"/>
          <w:szCs w:val="24"/>
        </w:rPr>
        <w:t>Harrow</w:t>
      </w:r>
      <w:r w:rsidRPr="00952902">
        <w:rPr>
          <w:rFonts w:cs="Arial"/>
          <w:szCs w:val="24"/>
        </w:rPr>
        <w:t xml:space="preserve"> has not achieved the </w:t>
      </w:r>
      <w:r w:rsidR="00F07907">
        <w:rPr>
          <w:rFonts w:cs="Arial"/>
          <w:szCs w:val="24"/>
        </w:rPr>
        <w:t>World Health Organisation recommended</w:t>
      </w:r>
      <w:r w:rsidRPr="00952902">
        <w:rPr>
          <w:rFonts w:cs="Arial"/>
          <w:szCs w:val="24"/>
        </w:rPr>
        <w:t xml:space="preserve"> 95% </w:t>
      </w:r>
      <w:r w:rsidR="00F07907">
        <w:rPr>
          <w:rFonts w:cs="Arial"/>
          <w:szCs w:val="24"/>
        </w:rPr>
        <w:t xml:space="preserve">coverage for the primaries and MMR to provide </w:t>
      </w:r>
      <w:r w:rsidRPr="00952902">
        <w:rPr>
          <w:rFonts w:cs="Arial"/>
          <w:szCs w:val="24"/>
        </w:rPr>
        <w:t>herd immunity (i.e. the proportion of people that need to be vaccinated in order to stop a disease spreading in the population).</w:t>
      </w:r>
    </w:p>
    <w:p w:rsidR="00620D56" w:rsidRPr="00620D56" w:rsidRDefault="00620D56" w:rsidP="00815046">
      <w:pPr>
        <w:ind w:left="360"/>
        <w:jc w:val="both"/>
        <w:rPr>
          <w:rFonts w:cs="Arial"/>
          <w:szCs w:val="24"/>
        </w:rPr>
      </w:pPr>
    </w:p>
    <w:p w:rsidR="00620D56" w:rsidRDefault="00620D56" w:rsidP="00815046">
      <w:pPr>
        <w:pStyle w:val="ListParagraph"/>
        <w:numPr>
          <w:ilvl w:val="0"/>
          <w:numId w:val="3"/>
        </w:numPr>
        <w:contextualSpacing w:val="0"/>
        <w:jc w:val="both"/>
        <w:rPr>
          <w:rFonts w:cs="Arial"/>
          <w:szCs w:val="24"/>
        </w:rPr>
      </w:pPr>
      <w:r>
        <w:rPr>
          <w:rFonts w:cs="Arial"/>
          <w:szCs w:val="24"/>
        </w:rPr>
        <w:lastRenderedPageBreak/>
        <w:t>For immunisations, uptake is usually compared with geographical neighbours as immunisation uptake is affected by service provision and neighbouring boroughs in NWL historically have similar general practice provision and thereby provide a better compariso</w:t>
      </w:r>
      <w:r w:rsidR="003166BE">
        <w:rPr>
          <w:rFonts w:cs="Arial"/>
          <w:szCs w:val="24"/>
        </w:rPr>
        <w:t>n than statistical neighbours</w:t>
      </w:r>
      <w:r w:rsidR="006C1CA1">
        <w:rPr>
          <w:rFonts w:cs="Arial"/>
          <w:szCs w:val="24"/>
        </w:rPr>
        <w:t xml:space="preserve">. </w:t>
      </w:r>
      <w:r>
        <w:rPr>
          <w:rFonts w:cs="Arial"/>
          <w:szCs w:val="24"/>
        </w:rPr>
        <w:t xml:space="preserve"> </w:t>
      </w:r>
    </w:p>
    <w:p w:rsidR="004B1666" w:rsidRPr="004B1666" w:rsidRDefault="004B1666" w:rsidP="00815046">
      <w:pPr>
        <w:pStyle w:val="ListParagraph"/>
        <w:jc w:val="both"/>
        <w:rPr>
          <w:rFonts w:cs="Arial"/>
          <w:szCs w:val="24"/>
        </w:rPr>
      </w:pPr>
    </w:p>
    <w:p w:rsidR="00DB19A5" w:rsidRPr="00DB19A5" w:rsidRDefault="00A43107" w:rsidP="00DB19A5">
      <w:pPr>
        <w:pStyle w:val="ListParagraph"/>
        <w:numPr>
          <w:ilvl w:val="0"/>
          <w:numId w:val="3"/>
        </w:numPr>
        <w:tabs>
          <w:tab w:val="left" w:pos="851"/>
        </w:tabs>
        <w:spacing w:line="280" w:lineRule="exact"/>
        <w:contextualSpacing w:val="0"/>
        <w:jc w:val="both"/>
        <w:rPr>
          <w:rFonts w:cs="Arial"/>
          <w:szCs w:val="24"/>
        </w:rPr>
      </w:pPr>
      <w:r>
        <w:rPr>
          <w:rFonts w:cs="Arial"/>
          <w:szCs w:val="24"/>
        </w:rPr>
        <w:t xml:space="preserve">Figure 1 provides a snapshot of all </w:t>
      </w:r>
      <w:r w:rsidR="00E3016F">
        <w:rPr>
          <w:rFonts w:cs="Arial"/>
          <w:szCs w:val="24"/>
        </w:rPr>
        <w:t>Harrow</w:t>
      </w:r>
      <w:r>
        <w:rPr>
          <w:rFonts w:cs="Arial"/>
          <w:szCs w:val="24"/>
        </w:rPr>
        <w:t xml:space="preserve">’s 0-5 immunisation programmes.  It can be seen that the uptake of vaccinations are close together indicating </w:t>
      </w:r>
      <w:r w:rsidR="00F5242E">
        <w:rPr>
          <w:rFonts w:cs="Arial"/>
          <w:szCs w:val="24"/>
        </w:rPr>
        <w:t xml:space="preserve">a </w:t>
      </w:r>
      <w:r>
        <w:rPr>
          <w:rFonts w:cs="Arial"/>
          <w:szCs w:val="24"/>
        </w:rPr>
        <w:t xml:space="preserve">good quality of service provision (drop off between age 1 and age 2 and again by age 5 indicates system ability to call/recall and track children).  </w:t>
      </w:r>
    </w:p>
    <w:p w:rsidR="003166BE" w:rsidRDefault="003166BE" w:rsidP="00A43107">
      <w:pPr>
        <w:spacing w:line="276" w:lineRule="auto"/>
        <w:jc w:val="center"/>
        <w:rPr>
          <w:rFonts w:cs="Arial"/>
          <w:i/>
          <w:szCs w:val="24"/>
        </w:rPr>
      </w:pPr>
    </w:p>
    <w:p w:rsidR="00A43107" w:rsidRPr="005A20E8" w:rsidRDefault="00A43107" w:rsidP="00A43107">
      <w:pPr>
        <w:spacing w:line="276" w:lineRule="auto"/>
        <w:jc w:val="center"/>
        <w:rPr>
          <w:rFonts w:cs="Arial"/>
          <w:b/>
          <w:i/>
          <w:szCs w:val="24"/>
        </w:rPr>
      </w:pPr>
      <w:r>
        <w:rPr>
          <w:rFonts w:cs="Arial"/>
          <w:i/>
          <w:szCs w:val="24"/>
        </w:rPr>
        <w:t>F</w:t>
      </w:r>
      <w:r w:rsidRPr="00952902">
        <w:rPr>
          <w:rFonts w:cs="Arial"/>
          <w:i/>
          <w:szCs w:val="24"/>
        </w:rPr>
        <w:t xml:space="preserve">igure </w:t>
      </w:r>
      <w:r>
        <w:rPr>
          <w:rFonts w:cs="Arial"/>
          <w:i/>
          <w:szCs w:val="24"/>
        </w:rPr>
        <w:t>1</w:t>
      </w:r>
    </w:p>
    <w:p w:rsidR="00A43107" w:rsidRDefault="00A43107" w:rsidP="00A43107">
      <w:pPr>
        <w:spacing w:line="276" w:lineRule="auto"/>
        <w:jc w:val="center"/>
        <w:rPr>
          <w:rFonts w:cs="Arial"/>
          <w:i/>
          <w:szCs w:val="24"/>
        </w:rPr>
      </w:pPr>
      <w:r>
        <w:rPr>
          <w:rFonts w:cs="Arial"/>
          <w:i/>
          <w:szCs w:val="24"/>
        </w:rPr>
        <w:t>U</w:t>
      </w:r>
      <w:r w:rsidRPr="007F4FBF">
        <w:rPr>
          <w:rFonts w:cs="Arial"/>
          <w:i/>
          <w:szCs w:val="24"/>
        </w:rPr>
        <w:t xml:space="preserve">ptake rates of 0-5 vaccinations for </w:t>
      </w:r>
      <w:r w:rsidR="00E3016F" w:rsidRPr="007F4FBF">
        <w:rPr>
          <w:rFonts w:cs="Arial"/>
          <w:i/>
          <w:szCs w:val="24"/>
        </w:rPr>
        <w:t>Harrow</w:t>
      </w:r>
      <w:r w:rsidR="007E6A76" w:rsidRPr="007F4FBF">
        <w:rPr>
          <w:rFonts w:cs="Arial"/>
          <w:i/>
          <w:szCs w:val="24"/>
        </w:rPr>
        <w:t xml:space="preserve"> Q1 2014/15 – Q1 2018/19</w:t>
      </w:r>
    </w:p>
    <w:p w:rsidR="007F4FBF" w:rsidRDefault="007F4FBF" w:rsidP="00A43107">
      <w:pPr>
        <w:spacing w:line="276" w:lineRule="auto"/>
        <w:jc w:val="center"/>
        <w:rPr>
          <w:rFonts w:cs="Arial"/>
          <w:i/>
          <w:szCs w:val="24"/>
        </w:rPr>
      </w:pPr>
    </w:p>
    <w:p w:rsidR="00A43107" w:rsidRPr="007F4FBF" w:rsidRDefault="007F4FBF" w:rsidP="007F4FBF">
      <w:pPr>
        <w:spacing w:line="276" w:lineRule="auto"/>
        <w:jc w:val="center"/>
        <w:rPr>
          <w:rFonts w:cs="Arial"/>
          <w:i/>
          <w:szCs w:val="24"/>
        </w:rPr>
      </w:pPr>
      <w:r>
        <w:rPr>
          <w:noProof/>
          <w:lang w:eastAsia="en-GB"/>
        </w:rPr>
        <w:drawing>
          <wp:inline distT="0" distB="0" distL="0" distR="0" wp14:anchorId="683FF177" wp14:editId="53363319">
            <wp:extent cx="5928360" cy="3101340"/>
            <wp:effectExtent l="0" t="0" r="15240" b="3810"/>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3107" w:rsidRPr="00A43107" w:rsidRDefault="00A43107" w:rsidP="00A43107">
      <w:pPr>
        <w:pStyle w:val="ListParagraph"/>
        <w:rPr>
          <w:rFonts w:cs="Arial"/>
          <w:szCs w:val="24"/>
        </w:rPr>
      </w:pPr>
    </w:p>
    <w:p w:rsidR="00A43107" w:rsidRPr="00A43107" w:rsidRDefault="00A43107" w:rsidP="00A43107">
      <w:pPr>
        <w:tabs>
          <w:tab w:val="left" w:pos="851"/>
        </w:tabs>
        <w:spacing w:line="280" w:lineRule="exact"/>
        <w:ind w:left="360"/>
        <w:jc w:val="right"/>
        <w:rPr>
          <w:rFonts w:cs="Arial"/>
          <w:i/>
          <w:szCs w:val="24"/>
        </w:rPr>
      </w:pPr>
      <w:r w:rsidRPr="00A43107">
        <w:rPr>
          <w:rFonts w:cs="Arial"/>
          <w:i/>
          <w:szCs w:val="24"/>
        </w:rPr>
        <w:t>Source: PHE (2018)</w:t>
      </w:r>
    </w:p>
    <w:p w:rsidR="00A43107" w:rsidRPr="00A43107" w:rsidRDefault="00A43107" w:rsidP="00A43107">
      <w:pPr>
        <w:tabs>
          <w:tab w:val="left" w:pos="851"/>
        </w:tabs>
        <w:spacing w:line="280" w:lineRule="exact"/>
        <w:ind w:left="360"/>
        <w:jc w:val="both"/>
        <w:rPr>
          <w:rFonts w:cs="Arial"/>
          <w:szCs w:val="24"/>
        </w:rPr>
      </w:pPr>
    </w:p>
    <w:p w:rsidR="00F07907" w:rsidRDefault="00620D56" w:rsidP="00815046">
      <w:pPr>
        <w:pStyle w:val="ListParagraph"/>
        <w:numPr>
          <w:ilvl w:val="0"/>
          <w:numId w:val="3"/>
        </w:numPr>
        <w:tabs>
          <w:tab w:val="left" w:pos="851"/>
        </w:tabs>
        <w:spacing w:line="280" w:lineRule="exact"/>
        <w:contextualSpacing w:val="0"/>
        <w:jc w:val="both"/>
        <w:rPr>
          <w:rFonts w:cs="Arial"/>
          <w:szCs w:val="24"/>
        </w:rPr>
      </w:pPr>
      <w:r>
        <w:rPr>
          <w:rFonts w:cs="Arial"/>
          <w:szCs w:val="24"/>
        </w:rPr>
        <w:t xml:space="preserve">Figures </w:t>
      </w:r>
      <w:r w:rsidR="00A43107">
        <w:rPr>
          <w:rFonts w:cs="Arial"/>
          <w:szCs w:val="24"/>
        </w:rPr>
        <w:t>2</w:t>
      </w:r>
      <w:r>
        <w:rPr>
          <w:rFonts w:cs="Arial"/>
          <w:szCs w:val="24"/>
        </w:rPr>
        <w:t>-5</w:t>
      </w:r>
      <w:r w:rsidR="00DD48D5" w:rsidRPr="00952902">
        <w:rPr>
          <w:rFonts w:cs="Arial"/>
          <w:szCs w:val="24"/>
        </w:rPr>
        <w:t xml:space="preserve"> illustrate the</w:t>
      </w:r>
      <w:r w:rsidR="003E1210">
        <w:rPr>
          <w:rFonts w:cs="Arial"/>
          <w:szCs w:val="24"/>
        </w:rPr>
        <w:t xml:space="preserve"> comparison of </w:t>
      </w:r>
      <w:r w:rsidR="00E3016F">
        <w:rPr>
          <w:rFonts w:cs="Arial"/>
          <w:szCs w:val="24"/>
        </w:rPr>
        <w:t>Harrow</w:t>
      </w:r>
      <w:r w:rsidR="003E1210">
        <w:rPr>
          <w:rFonts w:cs="Arial"/>
          <w:szCs w:val="24"/>
        </w:rPr>
        <w:t xml:space="preserve"> to other </w:t>
      </w:r>
      <w:r w:rsidR="00B24126">
        <w:rPr>
          <w:rFonts w:cs="Arial"/>
          <w:szCs w:val="24"/>
        </w:rPr>
        <w:t>North</w:t>
      </w:r>
      <w:r w:rsidR="003E1210">
        <w:rPr>
          <w:rFonts w:cs="Arial"/>
          <w:szCs w:val="24"/>
        </w:rPr>
        <w:t xml:space="preserve"> West London boroughs using</w:t>
      </w:r>
      <w:r w:rsidR="00DD48D5" w:rsidRPr="00952902">
        <w:rPr>
          <w:rFonts w:cs="Arial"/>
          <w:szCs w:val="24"/>
        </w:rPr>
        <w:t xml:space="preserve"> quarterly COVER statistics for the uptake of </w:t>
      </w:r>
      <w:r w:rsidR="00DD48D5">
        <w:rPr>
          <w:rFonts w:cs="Arial"/>
          <w:szCs w:val="24"/>
        </w:rPr>
        <w:t xml:space="preserve">the six </w:t>
      </w:r>
      <w:r w:rsidR="00F07907">
        <w:rPr>
          <w:rFonts w:cs="Arial"/>
          <w:szCs w:val="24"/>
        </w:rPr>
        <w:t xml:space="preserve">main </w:t>
      </w:r>
      <w:r w:rsidR="00DD48D5">
        <w:rPr>
          <w:rFonts w:cs="Arial"/>
          <w:szCs w:val="24"/>
        </w:rPr>
        <w:t>COVER indicators for uptake</w:t>
      </w:r>
      <w:r w:rsidR="00DD48D5" w:rsidRPr="00952902">
        <w:rPr>
          <w:rFonts w:cs="Arial"/>
          <w:szCs w:val="24"/>
        </w:rPr>
        <w:t xml:space="preserve">. </w:t>
      </w:r>
      <w:r w:rsidR="00DD48D5">
        <w:rPr>
          <w:rFonts w:cs="Arial"/>
          <w:szCs w:val="24"/>
        </w:rPr>
        <w:t>The</w:t>
      </w:r>
      <w:r w:rsidR="00F07907">
        <w:rPr>
          <w:rFonts w:cs="Arial"/>
          <w:szCs w:val="24"/>
        </w:rPr>
        <w:t xml:space="preserve">se are </w:t>
      </w:r>
    </w:p>
    <w:p w:rsidR="00F07907" w:rsidRPr="00F07907" w:rsidRDefault="00F07907" w:rsidP="00815046">
      <w:pPr>
        <w:pStyle w:val="ListParagraph"/>
        <w:jc w:val="both"/>
        <w:rPr>
          <w:rFonts w:cs="Arial"/>
          <w:szCs w:val="24"/>
        </w:rPr>
      </w:pPr>
    </w:p>
    <w:p w:rsidR="00F07907" w:rsidRDefault="0087034A" w:rsidP="00815046">
      <w:pPr>
        <w:pStyle w:val="ListParagraph"/>
        <w:numPr>
          <w:ilvl w:val="1"/>
          <w:numId w:val="3"/>
        </w:numPr>
        <w:tabs>
          <w:tab w:val="left" w:pos="851"/>
        </w:tabs>
        <w:spacing w:line="280" w:lineRule="exact"/>
        <w:contextualSpacing w:val="0"/>
        <w:jc w:val="both"/>
        <w:rPr>
          <w:rFonts w:cs="Arial"/>
          <w:szCs w:val="24"/>
        </w:rPr>
      </w:pPr>
      <w:r>
        <w:rPr>
          <w:rFonts w:cs="Arial"/>
          <w:szCs w:val="24"/>
        </w:rPr>
        <w:t>T</w:t>
      </w:r>
      <w:r w:rsidR="00F07907" w:rsidRPr="00F07907">
        <w:rPr>
          <w:rFonts w:cs="Arial"/>
          <w:szCs w:val="24"/>
        </w:rPr>
        <w:t>he</w:t>
      </w:r>
      <w:r w:rsidR="00DD48D5" w:rsidRPr="00F07907">
        <w:rPr>
          <w:rFonts w:cs="Arial"/>
          <w:szCs w:val="24"/>
        </w:rPr>
        <w:t xml:space="preserve"> primaries (i.e. completed three doses of </w:t>
      </w:r>
      <w:proofErr w:type="spellStart"/>
      <w:r w:rsidR="00DD48D5" w:rsidRPr="00F07907">
        <w:rPr>
          <w:rFonts w:cs="Arial"/>
          <w:szCs w:val="24"/>
        </w:rPr>
        <w:t>DTaP</w:t>
      </w:r>
      <w:proofErr w:type="spellEnd"/>
      <w:r w:rsidR="00DD48D5" w:rsidRPr="00F07907">
        <w:rPr>
          <w:rFonts w:cs="Arial"/>
          <w:szCs w:val="24"/>
        </w:rPr>
        <w:t>/IPV/Hib</w:t>
      </w:r>
      <w:r w:rsidR="00A46DF7">
        <w:rPr>
          <w:rFonts w:cs="Arial"/>
          <w:szCs w:val="24"/>
        </w:rPr>
        <w:t>/</w:t>
      </w:r>
      <w:proofErr w:type="spellStart"/>
      <w:r w:rsidR="00A46DF7">
        <w:rPr>
          <w:rFonts w:cs="Arial"/>
          <w:szCs w:val="24"/>
        </w:rPr>
        <w:t>HepB</w:t>
      </w:r>
      <w:proofErr w:type="spellEnd"/>
      <w:r w:rsidR="00DD48D5" w:rsidRPr="00F07907">
        <w:rPr>
          <w:rFonts w:cs="Arial"/>
          <w:szCs w:val="24"/>
        </w:rPr>
        <w:t xml:space="preserve">) are used to indicate </w:t>
      </w:r>
      <w:r w:rsidR="00F07907">
        <w:rPr>
          <w:rFonts w:cs="Arial"/>
          <w:szCs w:val="24"/>
        </w:rPr>
        <w:t>completion of age one immunisations</w:t>
      </w:r>
    </w:p>
    <w:p w:rsidR="00F07907" w:rsidRDefault="00DD48D5" w:rsidP="00815046">
      <w:pPr>
        <w:pStyle w:val="ListParagraph"/>
        <w:numPr>
          <w:ilvl w:val="1"/>
          <w:numId w:val="3"/>
        </w:numPr>
        <w:tabs>
          <w:tab w:val="left" w:pos="851"/>
        </w:tabs>
        <w:spacing w:line="280" w:lineRule="exact"/>
        <w:contextualSpacing w:val="0"/>
        <w:jc w:val="both"/>
        <w:rPr>
          <w:rFonts w:cs="Arial"/>
          <w:szCs w:val="24"/>
        </w:rPr>
      </w:pPr>
      <w:r w:rsidRPr="00F07907">
        <w:rPr>
          <w:rFonts w:cs="Arial"/>
          <w:szCs w:val="24"/>
        </w:rPr>
        <w:t>PCV and Hib/</w:t>
      </w:r>
      <w:proofErr w:type="spellStart"/>
      <w:r w:rsidRPr="00F07907">
        <w:rPr>
          <w:rFonts w:cs="Arial"/>
          <w:szCs w:val="24"/>
        </w:rPr>
        <w:t>MenC</w:t>
      </w:r>
      <w:proofErr w:type="spellEnd"/>
      <w:r w:rsidRPr="00F07907">
        <w:rPr>
          <w:rFonts w:cs="Arial"/>
          <w:szCs w:val="24"/>
        </w:rPr>
        <w:t xml:space="preserve"> boosters and first dose of MMR for immuni</w:t>
      </w:r>
      <w:r w:rsidR="00F07907">
        <w:rPr>
          <w:rFonts w:cs="Arial"/>
          <w:szCs w:val="24"/>
        </w:rPr>
        <w:t xml:space="preserve">sations by age 2 </w:t>
      </w:r>
    </w:p>
    <w:p w:rsidR="0087034A" w:rsidRDefault="00F5242E" w:rsidP="00815046">
      <w:pPr>
        <w:pStyle w:val="ListParagraph"/>
        <w:numPr>
          <w:ilvl w:val="1"/>
          <w:numId w:val="3"/>
        </w:numPr>
        <w:tabs>
          <w:tab w:val="left" w:pos="851"/>
        </w:tabs>
        <w:spacing w:line="280" w:lineRule="exact"/>
        <w:contextualSpacing w:val="0"/>
        <w:jc w:val="both"/>
        <w:rPr>
          <w:rFonts w:cs="Arial"/>
          <w:szCs w:val="24"/>
        </w:rPr>
      </w:pPr>
      <w:r w:rsidRPr="00F07907">
        <w:rPr>
          <w:rFonts w:cs="Arial"/>
          <w:szCs w:val="24"/>
        </w:rPr>
        <w:t>Preschool</w:t>
      </w:r>
      <w:r w:rsidR="00DD48D5" w:rsidRPr="00F07907">
        <w:rPr>
          <w:rFonts w:cs="Arial"/>
          <w:szCs w:val="24"/>
        </w:rPr>
        <w:t xml:space="preserve"> booster and second dose of MMR for age 5.</w:t>
      </w:r>
    </w:p>
    <w:p w:rsidR="00F07907" w:rsidRPr="0087034A" w:rsidRDefault="00DD48D5" w:rsidP="00815046">
      <w:pPr>
        <w:tabs>
          <w:tab w:val="left" w:pos="851"/>
        </w:tabs>
        <w:spacing w:line="280" w:lineRule="exact"/>
        <w:ind w:left="1080"/>
        <w:jc w:val="both"/>
        <w:rPr>
          <w:rFonts w:cs="Arial"/>
          <w:szCs w:val="24"/>
        </w:rPr>
      </w:pPr>
      <w:r w:rsidRPr="0087034A">
        <w:rPr>
          <w:rFonts w:cs="Arial"/>
          <w:szCs w:val="24"/>
        </w:rPr>
        <w:t xml:space="preserve"> </w:t>
      </w:r>
    </w:p>
    <w:p w:rsidR="00DD48D5" w:rsidRPr="00F07907" w:rsidRDefault="00DD48D5" w:rsidP="00815046">
      <w:pPr>
        <w:pStyle w:val="ListParagraph"/>
        <w:numPr>
          <w:ilvl w:val="0"/>
          <w:numId w:val="3"/>
        </w:numPr>
        <w:tabs>
          <w:tab w:val="left" w:pos="851"/>
        </w:tabs>
        <w:spacing w:line="280" w:lineRule="exact"/>
        <w:contextualSpacing w:val="0"/>
        <w:jc w:val="both"/>
        <w:rPr>
          <w:rFonts w:cs="Arial"/>
          <w:szCs w:val="24"/>
        </w:rPr>
      </w:pPr>
      <w:r w:rsidRPr="00F07907">
        <w:rPr>
          <w:rFonts w:cs="Arial"/>
          <w:szCs w:val="24"/>
        </w:rPr>
        <w:t xml:space="preserve">Quarterly rates vary considerably more than annual rates but are used here so that Quarter </w:t>
      </w:r>
      <w:r w:rsidR="00A52772">
        <w:rPr>
          <w:rFonts w:cs="Arial"/>
          <w:szCs w:val="24"/>
        </w:rPr>
        <w:t>1</w:t>
      </w:r>
      <w:r w:rsidRPr="00F07907">
        <w:rPr>
          <w:rFonts w:cs="Arial"/>
          <w:szCs w:val="24"/>
        </w:rPr>
        <w:t xml:space="preserve"> data from </w:t>
      </w:r>
      <w:r w:rsidR="00A52772">
        <w:rPr>
          <w:rFonts w:cs="Arial"/>
          <w:szCs w:val="24"/>
        </w:rPr>
        <w:t>2018/19</w:t>
      </w:r>
      <w:r w:rsidRPr="00F07907">
        <w:rPr>
          <w:rFonts w:cs="Arial"/>
          <w:szCs w:val="24"/>
        </w:rPr>
        <w:t xml:space="preserve"> (the latest available data) could be included. </w:t>
      </w:r>
    </w:p>
    <w:p w:rsidR="00DD48D5" w:rsidRPr="00DD48D5" w:rsidRDefault="00DD48D5" w:rsidP="00DD48D5">
      <w:pPr>
        <w:pStyle w:val="ListParagraph"/>
        <w:rPr>
          <w:rFonts w:cs="Arial"/>
          <w:szCs w:val="24"/>
        </w:rPr>
      </w:pPr>
    </w:p>
    <w:p w:rsidR="00DC3E65" w:rsidRDefault="00DC3E65" w:rsidP="005A20E8">
      <w:pPr>
        <w:spacing w:line="276" w:lineRule="auto"/>
        <w:jc w:val="center"/>
        <w:rPr>
          <w:rFonts w:cs="Arial"/>
          <w:i/>
          <w:szCs w:val="24"/>
        </w:rPr>
      </w:pPr>
    </w:p>
    <w:p w:rsidR="00DC3E65" w:rsidRDefault="00DC3E65">
      <w:pPr>
        <w:rPr>
          <w:rFonts w:cs="Arial"/>
          <w:i/>
          <w:szCs w:val="24"/>
        </w:rPr>
      </w:pPr>
      <w:r>
        <w:rPr>
          <w:rFonts w:cs="Arial"/>
          <w:i/>
          <w:szCs w:val="24"/>
        </w:rPr>
        <w:br w:type="page"/>
      </w:r>
    </w:p>
    <w:p w:rsidR="004B1666" w:rsidRPr="005A20E8" w:rsidRDefault="00DD48D5" w:rsidP="005A20E8">
      <w:pPr>
        <w:spacing w:line="276" w:lineRule="auto"/>
        <w:jc w:val="center"/>
        <w:rPr>
          <w:rFonts w:cs="Arial"/>
          <w:b/>
          <w:i/>
          <w:szCs w:val="24"/>
        </w:rPr>
      </w:pPr>
      <w:r>
        <w:rPr>
          <w:rFonts w:cs="Arial"/>
          <w:i/>
          <w:szCs w:val="24"/>
        </w:rPr>
        <w:lastRenderedPageBreak/>
        <w:t>F</w:t>
      </w:r>
      <w:r w:rsidR="004B1666" w:rsidRPr="00952902">
        <w:rPr>
          <w:rFonts w:cs="Arial"/>
          <w:i/>
          <w:szCs w:val="24"/>
        </w:rPr>
        <w:t xml:space="preserve">igure </w:t>
      </w:r>
      <w:r w:rsidR="00A43107">
        <w:rPr>
          <w:rFonts w:cs="Arial"/>
          <w:i/>
          <w:szCs w:val="24"/>
        </w:rPr>
        <w:t>2</w:t>
      </w:r>
    </w:p>
    <w:p w:rsidR="002423D5" w:rsidRDefault="005A20E8" w:rsidP="005A20E8">
      <w:pPr>
        <w:spacing w:line="276" w:lineRule="auto"/>
        <w:jc w:val="center"/>
        <w:rPr>
          <w:rFonts w:cs="Arial"/>
          <w:i/>
          <w:szCs w:val="24"/>
        </w:rPr>
      </w:pPr>
      <w:r w:rsidRPr="005A20E8">
        <w:rPr>
          <w:rFonts w:cs="Arial"/>
          <w:i/>
          <w:szCs w:val="24"/>
        </w:rPr>
        <w:t>DTAP/IPV/ Hib</w:t>
      </w:r>
      <w:r w:rsidR="0093048E">
        <w:rPr>
          <w:rFonts w:cs="Arial"/>
          <w:i/>
          <w:szCs w:val="24"/>
        </w:rPr>
        <w:t>/Hep B</w:t>
      </w:r>
      <w:r w:rsidR="002F0C98">
        <w:rPr>
          <w:rFonts w:cs="Arial"/>
          <w:i/>
          <w:szCs w:val="24"/>
        </w:rPr>
        <w:t xml:space="preserve"> Vaccine – 1 year (quarterly data Q</w:t>
      </w:r>
      <w:r w:rsidR="0045224B">
        <w:rPr>
          <w:rFonts w:cs="Arial"/>
          <w:i/>
          <w:szCs w:val="24"/>
        </w:rPr>
        <w:t>1 17/18</w:t>
      </w:r>
      <w:r w:rsidR="002F0C98">
        <w:rPr>
          <w:rFonts w:cs="Arial"/>
          <w:i/>
          <w:szCs w:val="24"/>
        </w:rPr>
        <w:t xml:space="preserve"> to </w:t>
      </w:r>
      <w:r w:rsidR="0045224B">
        <w:rPr>
          <w:rFonts w:cs="Arial"/>
          <w:i/>
          <w:szCs w:val="24"/>
        </w:rPr>
        <w:t>Q1 2018/19</w:t>
      </w:r>
      <w:r w:rsidR="004B1666" w:rsidRPr="00952902">
        <w:rPr>
          <w:rFonts w:cs="Arial"/>
          <w:i/>
          <w:szCs w:val="24"/>
        </w:rPr>
        <w:t>)</w:t>
      </w:r>
    </w:p>
    <w:p w:rsidR="005A20E8" w:rsidRDefault="0045224B" w:rsidP="0079347A">
      <w:pPr>
        <w:spacing w:after="200" w:line="276" w:lineRule="auto"/>
        <w:rPr>
          <w:rFonts w:cs="Arial"/>
          <w:i/>
          <w:szCs w:val="24"/>
        </w:rPr>
      </w:pPr>
      <w:r w:rsidRPr="0045224B">
        <w:rPr>
          <w:rFonts w:cs="Arial"/>
          <w:i/>
          <w:noProof/>
          <w:szCs w:val="24"/>
          <w:lang w:eastAsia="en-GB"/>
        </w:rPr>
        <w:drawing>
          <wp:inline distT="0" distB="0" distL="0" distR="0" wp14:anchorId="060E4FC9" wp14:editId="6E177FA6">
            <wp:extent cx="6372225" cy="3657600"/>
            <wp:effectExtent l="0" t="0" r="0" b="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6"/>
                    <a:stretch>
                      <a:fillRect/>
                    </a:stretch>
                  </pic:blipFill>
                  <pic:spPr>
                    <a:xfrm>
                      <a:off x="0" y="0"/>
                      <a:ext cx="6375038" cy="3659215"/>
                    </a:xfrm>
                    <a:prstGeom prst="rect">
                      <a:avLst/>
                    </a:prstGeom>
                  </pic:spPr>
                </pic:pic>
              </a:graphicData>
            </a:graphic>
          </wp:inline>
        </w:drawing>
      </w:r>
    </w:p>
    <w:p w:rsidR="005A20E8" w:rsidRPr="0045224B" w:rsidRDefault="005A20E8" w:rsidP="005A20E8">
      <w:pPr>
        <w:spacing w:after="200" w:line="276" w:lineRule="auto"/>
        <w:jc w:val="center"/>
        <w:rPr>
          <w:rFonts w:cs="Arial"/>
          <w:b/>
          <w:i/>
          <w:szCs w:val="24"/>
        </w:rPr>
      </w:pPr>
    </w:p>
    <w:p w:rsidR="0045224B" w:rsidRDefault="0045224B" w:rsidP="000423B5">
      <w:pPr>
        <w:spacing w:after="200" w:line="276" w:lineRule="auto"/>
        <w:jc w:val="right"/>
        <w:rPr>
          <w:rFonts w:cs="Arial"/>
          <w:i/>
          <w:szCs w:val="24"/>
        </w:rPr>
      </w:pPr>
      <w:r w:rsidRPr="0045224B">
        <w:rPr>
          <w:rFonts w:cs="Arial"/>
          <w:b/>
          <w:i/>
          <w:noProof/>
          <w:szCs w:val="24"/>
          <w:lang w:eastAsia="en-GB"/>
        </w:rPr>
        <w:drawing>
          <wp:inline distT="0" distB="0" distL="0" distR="0" wp14:anchorId="5DBAE5F8" wp14:editId="6615506E">
            <wp:extent cx="6305550" cy="26765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7"/>
                    <a:stretch>
                      <a:fillRect/>
                    </a:stretch>
                  </pic:blipFill>
                  <pic:spPr>
                    <a:xfrm>
                      <a:off x="0" y="0"/>
                      <a:ext cx="6305550" cy="2676525"/>
                    </a:xfrm>
                    <a:prstGeom prst="rect">
                      <a:avLst/>
                    </a:prstGeom>
                  </pic:spPr>
                </pic:pic>
              </a:graphicData>
            </a:graphic>
          </wp:inline>
        </w:drawing>
      </w:r>
    </w:p>
    <w:p w:rsidR="0045224B" w:rsidRDefault="0045224B" w:rsidP="000423B5">
      <w:pPr>
        <w:spacing w:after="200" w:line="276" w:lineRule="auto"/>
        <w:jc w:val="right"/>
        <w:rPr>
          <w:rFonts w:cs="Arial"/>
          <w:i/>
          <w:szCs w:val="24"/>
        </w:rPr>
      </w:pPr>
    </w:p>
    <w:p w:rsidR="00830CA9" w:rsidRDefault="00301801" w:rsidP="000423B5">
      <w:pPr>
        <w:spacing w:after="200" w:line="276" w:lineRule="auto"/>
        <w:jc w:val="right"/>
        <w:rPr>
          <w:rFonts w:cs="Arial"/>
          <w:i/>
          <w:szCs w:val="24"/>
        </w:rPr>
      </w:pPr>
      <w:r>
        <w:rPr>
          <w:rFonts w:cs="Arial"/>
          <w:i/>
          <w:szCs w:val="24"/>
        </w:rPr>
        <w:t>Source: PHE (2018</w:t>
      </w:r>
      <w:r w:rsidR="000423B5">
        <w:rPr>
          <w:rFonts w:cs="Arial"/>
          <w:i/>
          <w:szCs w:val="24"/>
        </w:rPr>
        <w:t>)</w:t>
      </w:r>
    </w:p>
    <w:p w:rsidR="00F07907" w:rsidRDefault="00F07907">
      <w:pPr>
        <w:rPr>
          <w:rFonts w:cs="Arial"/>
          <w:i/>
          <w:szCs w:val="24"/>
        </w:rPr>
      </w:pPr>
      <w:r>
        <w:rPr>
          <w:rFonts w:cs="Arial"/>
          <w:i/>
          <w:szCs w:val="24"/>
        </w:rPr>
        <w:br w:type="page"/>
      </w:r>
    </w:p>
    <w:p w:rsidR="00830CA9" w:rsidRPr="005A20E8" w:rsidRDefault="00830CA9" w:rsidP="00830CA9">
      <w:pPr>
        <w:spacing w:line="276" w:lineRule="auto"/>
        <w:jc w:val="center"/>
        <w:rPr>
          <w:rFonts w:cs="Arial"/>
          <w:b/>
          <w:i/>
          <w:szCs w:val="24"/>
        </w:rPr>
      </w:pPr>
      <w:r>
        <w:rPr>
          <w:rFonts w:cs="Arial"/>
          <w:i/>
          <w:szCs w:val="24"/>
        </w:rPr>
        <w:lastRenderedPageBreak/>
        <w:t>F</w:t>
      </w:r>
      <w:r w:rsidRPr="00952902">
        <w:rPr>
          <w:rFonts w:cs="Arial"/>
          <w:i/>
          <w:szCs w:val="24"/>
        </w:rPr>
        <w:t xml:space="preserve">igure </w:t>
      </w:r>
      <w:r w:rsidR="00DC3E65">
        <w:rPr>
          <w:rFonts w:cs="Arial"/>
          <w:i/>
          <w:szCs w:val="24"/>
        </w:rPr>
        <w:t>3</w:t>
      </w:r>
    </w:p>
    <w:p w:rsidR="00830CA9" w:rsidRDefault="00830CA9" w:rsidP="00830CA9">
      <w:pPr>
        <w:spacing w:line="276" w:lineRule="auto"/>
        <w:jc w:val="center"/>
        <w:rPr>
          <w:rFonts w:cs="Arial"/>
          <w:i/>
          <w:szCs w:val="24"/>
        </w:rPr>
      </w:pPr>
      <w:r>
        <w:rPr>
          <w:rFonts w:cs="Arial"/>
          <w:i/>
          <w:szCs w:val="24"/>
        </w:rPr>
        <w:t>MMR Va</w:t>
      </w:r>
      <w:r w:rsidR="002F0C98">
        <w:rPr>
          <w:rFonts w:cs="Arial"/>
          <w:i/>
          <w:szCs w:val="24"/>
        </w:rPr>
        <w:t>ccine Dose 1 measured at</w:t>
      </w:r>
      <w:r>
        <w:rPr>
          <w:rFonts w:cs="Arial"/>
          <w:i/>
          <w:szCs w:val="24"/>
        </w:rPr>
        <w:t xml:space="preserve"> 2</w:t>
      </w:r>
      <w:r w:rsidRPr="005A20E8">
        <w:rPr>
          <w:rFonts w:cs="Arial"/>
          <w:i/>
          <w:szCs w:val="24"/>
        </w:rPr>
        <w:t xml:space="preserve"> year</w:t>
      </w:r>
      <w:r w:rsidR="0045224B">
        <w:rPr>
          <w:rFonts w:cs="Arial"/>
          <w:i/>
          <w:szCs w:val="24"/>
        </w:rPr>
        <w:t>s of age (quarterly data Q1 17/18 to Q1 2018/19</w:t>
      </w:r>
      <w:r w:rsidR="002F0C98" w:rsidRPr="00952902">
        <w:rPr>
          <w:rFonts w:cs="Arial"/>
          <w:i/>
          <w:szCs w:val="24"/>
        </w:rPr>
        <w:t>)</w:t>
      </w:r>
    </w:p>
    <w:p w:rsidR="00830CA9" w:rsidRDefault="00830CA9" w:rsidP="005A20E8">
      <w:pPr>
        <w:spacing w:after="200" w:line="276" w:lineRule="auto"/>
        <w:jc w:val="center"/>
        <w:rPr>
          <w:rFonts w:cs="Arial"/>
          <w:i/>
          <w:szCs w:val="24"/>
        </w:rPr>
      </w:pPr>
    </w:p>
    <w:p w:rsidR="00830CA9" w:rsidRDefault="0045224B" w:rsidP="00B24126">
      <w:pPr>
        <w:spacing w:after="200" w:line="276" w:lineRule="auto"/>
        <w:jc w:val="right"/>
        <w:rPr>
          <w:rFonts w:cs="Arial"/>
          <w:i/>
          <w:szCs w:val="24"/>
        </w:rPr>
      </w:pPr>
      <w:r w:rsidRPr="0045224B">
        <w:rPr>
          <w:noProof/>
          <w:lang w:eastAsia="en-GB"/>
        </w:rPr>
        <w:drawing>
          <wp:inline distT="0" distB="0" distL="0" distR="0" wp14:anchorId="560148CE" wp14:editId="0A52E6F9">
            <wp:extent cx="6391274" cy="3686175"/>
            <wp:effectExtent l="0" t="0" r="0" b="0"/>
            <wp:docPr id="9"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8"/>
                    <a:stretch>
                      <a:fillRect/>
                    </a:stretch>
                  </pic:blipFill>
                  <pic:spPr>
                    <a:xfrm>
                      <a:off x="0" y="0"/>
                      <a:ext cx="6394097" cy="3687803"/>
                    </a:xfrm>
                    <a:prstGeom prst="rect">
                      <a:avLst/>
                    </a:prstGeom>
                  </pic:spPr>
                </pic:pic>
              </a:graphicData>
            </a:graphic>
          </wp:inline>
        </w:drawing>
      </w:r>
      <w:r w:rsidRPr="0045224B">
        <w:rPr>
          <w:rFonts w:cs="Arial"/>
          <w:i/>
          <w:noProof/>
          <w:szCs w:val="24"/>
          <w:lang w:eastAsia="en-GB"/>
        </w:rPr>
        <w:drawing>
          <wp:inline distT="0" distB="0" distL="0" distR="0" wp14:anchorId="6EF6A618" wp14:editId="074ED1F2">
            <wp:extent cx="6057900" cy="2667000"/>
            <wp:effectExtent l="0" t="0" r="0" b="0"/>
            <wp:docPr id="10"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9"/>
                    <a:stretch>
                      <a:fillRect/>
                    </a:stretch>
                  </pic:blipFill>
                  <pic:spPr>
                    <a:xfrm>
                      <a:off x="0" y="0"/>
                      <a:ext cx="6060575" cy="2668178"/>
                    </a:xfrm>
                    <a:prstGeom prst="rect">
                      <a:avLst/>
                    </a:prstGeom>
                  </pic:spPr>
                </pic:pic>
              </a:graphicData>
            </a:graphic>
          </wp:inline>
        </w:drawing>
      </w:r>
      <w:r w:rsidR="00830CA9" w:rsidRPr="00830CA9">
        <w:rPr>
          <w:noProof/>
          <w:lang w:eastAsia="en-GB"/>
        </w:rPr>
        <w:t xml:space="preserve"> </w:t>
      </w:r>
    </w:p>
    <w:p w:rsidR="0045224B" w:rsidRDefault="0045224B" w:rsidP="0045224B">
      <w:pPr>
        <w:spacing w:after="200" w:line="276" w:lineRule="auto"/>
        <w:rPr>
          <w:rFonts w:cs="Arial"/>
          <w:i/>
          <w:szCs w:val="24"/>
        </w:rPr>
      </w:pPr>
    </w:p>
    <w:p w:rsidR="00DC3F1F" w:rsidRDefault="00830CA9" w:rsidP="0045224B">
      <w:pPr>
        <w:spacing w:after="200" w:line="276" w:lineRule="auto"/>
        <w:jc w:val="right"/>
        <w:rPr>
          <w:rFonts w:cs="Arial"/>
          <w:i/>
          <w:szCs w:val="24"/>
        </w:rPr>
      </w:pPr>
      <w:r>
        <w:rPr>
          <w:rFonts w:cs="Arial"/>
          <w:i/>
          <w:szCs w:val="24"/>
        </w:rPr>
        <w:t>Source: PHE (2018</w:t>
      </w:r>
      <w:r w:rsidR="004B1666" w:rsidRPr="00952902">
        <w:rPr>
          <w:rFonts w:cs="Arial"/>
          <w:i/>
          <w:szCs w:val="24"/>
        </w:rPr>
        <w:t>)</w:t>
      </w:r>
    </w:p>
    <w:p w:rsidR="00F07907" w:rsidRDefault="00F07907">
      <w:pPr>
        <w:rPr>
          <w:rFonts w:cs="Arial"/>
          <w:i/>
          <w:szCs w:val="24"/>
        </w:rPr>
      </w:pPr>
      <w:r>
        <w:rPr>
          <w:rFonts w:cs="Arial"/>
          <w:i/>
          <w:szCs w:val="24"/>
        </w:rPr>
        <w:br w:type="page"/>
      </w:r>
    </w:p>
    <w:p w:rsidR="00F76273" w:rsidRDefault="00DC3F1F" w:rsidP="00F76273">
      <w:pPr>
        <w:spacing w:line="276" w:lineRule="auto"/>
        <w:jc w:val="center"/>
        <w:rPr>
          <w:rFonts w:cs="Arial"/>
          <w:b/>
          <w:i/>
          <w:szCs w:val="24"/>
        </w:rPr>
      </w:pPr>
      <w:r>
        <w:rPr>
          <w:rFonts w:cs="Arial"/>
          <w:i/>
          <w:szCs w:val="24"/>
        </w:rPr>
        <w:lastRenderedPageBreak/>
        <w:t>F</w:t>
      </w:r>
      <w:r w:rsidRPr="00952902">
        <w:rPr>
          <w:rFonts w:cs="Arial"/>
          <w:i/>
          <w:szCs w:val="24"/>
        </w:rPr>
        <w:t xml:space="preserve">igure </w:t>
      </w:r>
      <w:r w:rsidR="00DC3E65">
        <w:rPr>
          <w:rFonts w:cs="Arial"/>
          <w:i/>
          <w:szCs w:val="24"/>
        </w:rPr>
        <w:t>4</w:t>
      </w:r>
    </w:p>
    <w:p w:rsidR="00DC3F1F" w:rsidRDefault="00F07907" w:rsidP="00F76273">
      <w:pPr>
        <w:spacing w:line="276" w:lineRule="auto"/>
        <w:jc w:val="center"/>
        <w:rPr>
          <w:rFonts w:cs="Arial"/>
          <w:i/>
          <w:szCs w:val="24"/>
        </w:rPr>
      </w:pPr>
      <w:r>
        <w:rPr>
          <w:rFonts w:cs="Arial"/>
          <w:i/>
          <w:szCs w:val="24"/>
        </w:rPr>
        <w:t>Hib/</w:t>
      </w:r>
      <w:proofErr w:type="spellStart"/>
      <w:r>
        <w:rPr>
          <w:rFonts w:cs="Arial"/>
          <w:i/>
          <w:szCs w:val="24"/>
        </w:rPr>
        <w:t>MenC</w:t>
      </w:r>
      <w:proofErr w:type="spellEnd"/>
      <w:r>
        <w:rPr>
          <w:rFonts w:cs="Arial"/>
          <w:i/>
          <w:szCs w:val="24"/>
        </w:rPr>
        <w:t xml:space="preserve"> Vaccines uptake at </w:t>
      </w:r>
      <w:r w:rsidR="00DC3F1F">
        <w:rPr>
          <w:rFonts w:cs="Arial"/>
          <w:i/>
          <w:szCs w:val="24"/>
        </w:rPr>
        <w:t>2</w:t>
      </w:r>
      <w:r w:rsidR="00DC3F1F" w:rsidRPr="005A20E8">
        <w:rPr>
          <w:rFonts w:cs="Arial"/>
          <w:i/>
          <w:szCs w:val="24"/>
        </w:rPr>
        <w:t xml:space="preserve"> year (quarterly data</w:t>
      </w:r>
      <w:r w:rsidR="00DC3F1F" w:rsidRPr="005A20E8">
        <w:rPr>
          <w:rFonts w:cs="Arial"/>
          <w:b/>
          <w:i/>
          <w:szCs w:val="24"/>
        </w:rPr>
        <w:t>)</w:t>
      </w:r>
      <w:r w:rsidR="00DC3F1F" w:rsidRPr="00952902">
        <w:rPr>
          <w:rFonts w:cs="Arial"/>
          <w:i/>
          <w:szCs w:val="24"/>
        </w:rPr>
        <w:t xml:space="preserve"> (</w:t>
      </w:r>
      <w:r w:rsidR="00F76273">
        <w:rPr>
          <w:rFonts w:cs="Arial"/>
          <w:i/>
          <w:szCs w:val="24"/>
        </w:rPr>
        <w:t>2017/18 - 2018/19</w:t>
      </w:r>
      <w:r w:rsidR="00DC3F1F" w:rsidRPr="00952902">
        <w:rPr>
          <w:rFonts w:cs="Arial"/>
          <w:i/>
          <w:szCs w:val="24"/>
        </w:rPr>
        <w:t>)</w:t>
      </w:r>
    </w:p>
    <w:p w:rsidR="00F76273" w:rsidRDefault="00F76273" w:rsidP="00F76273">
      <w:pPr>
        <w:spacing w:line="276" w:lineRule="auto"/>
        <w:jc w:val="center"/>
        <w:rPr>
          <w:rFonts w:cs="Arial"/>
          <w:b/>
          <w:i/>
          <w:szCs w:val="24"/>
        </w:rPr>
      </w:pPr>
    </w:p>
    <w:p w:rsidR="00F76273" w:rsidRPr="00F76273" w:rsidRDefault="00F76273" w:rsidP="00F76273">
      <w:pPr>
        <w:spacing w:line="276" w:lineRule="auto"/>
        <w:jc w:val="center"/>
        <w:rPr>
          <w:rFonts w:cs="Arial"/>
          <w:b/>
          <w:i/>
          <w:szCs w:val="24"/>
        </w:rPr>
      </w:pPr>
    </w:p>
    <w:tbl>
      <w:tblPr>
        <w:tblW w:w="7912" w:type="dxa"/>
        <w:jc w:val="center"/>
        <w:tblLook w:val="04A0" w:firstRow="1" w:lastRow="0" w:firstColumn="1" w:lastColumn="0" w:noHBand="0" w:noVBand="1"/>
      </w:tblPr>
      <w:tblGrid>
        <w:gridCol w:w="3588"/>
        <w:gridCol w:w="1336"/>
        <w:gridCol w:w="996"/>
        <w:gridCol w:w="996"/>
        <w:gridCol w:w="996"/>
      </w:tblGrid>
      <w:tr w:rsidR="00F76273" w:rsidRPr="00F76273" w:rsidTr="00F76273">
        <w:trPr>
          <w:trHeight w:val="300"/>
          <w:jc w:val="center"/>
        </w:trPr>
        <w:tc>
          <w:tcPr>
            <w:tcW w:w="3588" w:type="dxa"/>
            <w:tcBorders>
              <w:top w:val="nil"/>
              <w:left w:val="nil"/>
              <w:bottom w:val="nil"/>
              <w:right w:val="nil"/>
            </w:tcBorders>
            <w:shd w:val="clear" w:color="auto" w:fill="auto"/>
            <w:noWrap/>
            <w:vAlign w:val="bottom"/>
            <w:hideMark/>
          </w:tcPr>
          <w:p w:rsidR="00F76273" w:rsidRPr="00F76273" w:rsidRDefault="00F76273" w:rsidP="00F76273">
            <w:pPr>
              <w:rPr>
                <w:rFonts w:ascii="Calibri" w:hAnsi="Calibri"/>
                <w:bCs w:val="0"/>
                <w:color w:val="000000"/>
                <w:sz w:val="22"/>
                <w:szCs w:val="22"/>
                <w:lang w:eastAsia="en-GB"/>
              </w:rPr>
            </w:pPr>
          </w:p>
        </w:tc>
        <w:tc>
          <w:tcPr>
            <w:tcW w:w="1336" w:type="dxa"/>
            <w:tcBorders>
              <w:top w:val="nil"/>
              <w:left w:val="nil"/>
              <w:bottom w:val="single" w:sz="4" w:space="0" w:color="auto"/>
              <w:right w:val="nil"/>
            </w:tcBorders>
            <w:shd w:val="clear" w:color="auto" w:fill="auto"/>
            <w:noWrap/>
            <w:vAlign w:val="bottom"/>
            <w:hideMark/>
          </w:tcPr>
          <w:p w:rsidR="00F76273" w:rsidRPr="00F76273" w:rsidRDefault="00F76273" w:rsidP="00F76273">
            <w:pPr>
              <w:jc w:val="center"/>
              <w:rPr>
                <w:rFonts w:ascii="Calibri" w:hAnsi="Calibri"/>
                <w:b/>
                <w:color w:val="000000"/>
                <w:sz w:val="20"/>
                <w:szCs w:val="20"/>
                <w:lang w:eastAsia="en-GB"/>
              </w:rPr>
            </w:pPr>
            <w:r w:rsidRPr="00F76273">
              <w:rPr>
                <w:rFonts w:ascii="Calibri" w:hAnsi="Calibri"/>
                <w:b/>
                <w:color w:val="000000"/>
                <w:sz w:val="20"/>
                <w:szCs w:val="20"/>
                <w:lang w:eastAsia="en-GB"/>
              </w:rPr>
              <w:t>Q2 1718</w:t>
            </w:r>
          </w:p>
        </w:tc>
        <w:tc>
          <w:tcPr>
            <w:tcW w:w="996" w:type="dxa"/>
            <w:tcBorders>
              <w:top w:val="nil"/>
              <w:left w:val="nil"/>
              <w:bottom w:val="single" w:sz="4" w:space="0" w:color="auto"/>
              <w:right w:val="nil"/>
            </w:tcBorders>
            <w:shd w:val="clear" w:color="auto" w:fill="auto"/>
            <w:noWrap/>
            <w:vAlign w:val="bottom"/>
            <w:hideMark/>
          </w:tcPr>
          <w:p w:rsidR="00F76273" w:rsidRPr="00F76273" w:rsidRDefault="00F76273" w:rsidP="00F76273">
            <w:pPr>
              <w:jc w:val="center"/>
              <w:rPr>
                <w:rFonts w:ascii="Calibri" w:hAnsi="Calibri"/>
                <w:b/>
                <w:color w:val="000000"/>
                <w:sz w:val="20"/>
                <w:szCs w:val="20"/>
                <w:lang w:eastAsia="en-GB"/>
              </w:rPr>
            </w:pPr>
            <w:r w:rsidRPr="00F76273">
              <w:rPr>
                <w:rFonts w:ascii="Calibri" w:hAnsi="Calibri"/>
                <w:b/>
                <w:color w:val="000000"/>
                <w:sz w:val="20"/>
                <w:szCs w:val="20"/>
                <w:lang w:eastAsia="en-GB"/>
              </w:rPr>
              <w:t>Q3 1718</w:t>
            </w:r>
          </w:p>
        </w:tc>
        <w:tc>
          <w:tcPr>
            <w:tcW w:w="996" w:type="dxa"/>
            <w:tcBorders>
              <w:top w:val="nil"/>
              <w:left w:val="nil"/>
              <w:bottom w:val="single" w:sz="4" w:space="0" w:color="auto"/>
              <w:right w:val="nil"/>
            </w:tcBorders>
            <w:shd w:val="clear" w:color="auto" w:fill="auto"/>
            <w:noWrap/>
            <w:vAlign w:val="bottom"/>
            <w:hideMark/>
          </w:tcPr>
          <w:p w:rsidR="00F76273" w:rsidRPr="00F76273" w:rsidRDefault="00F76273" w:rsidP="00F76273">
            <w:pPr>
              <w:jc w:val="center"/>
              <w:rPr>
                <w:rFonts w:ascii="Calibri" w:hAnsi="Calibri"/>
                <w:b/>
                <w:color w:val="000000"/>
                <w:sz w:val="20"/>
                <w:szCs w:val="20"/>
                <w:lang w:eastAsia="en-GB"/>
              </w:rPr>
            </w:pPr>
            <w:r w:rsidRPr="00F76273">
              <w:rPr>
                <w:rFonts w:ascii="Calibri" w:hAnsi="Calibri"/>
                <w:b/>
                <w:color w:val="000000"/>
                <w:sz w:val="20"/>
                <w:szCs w:val="20"/>
                <w:lang w:eastAsia="en-GB"/>
              </w:rPr>
              <w:t>Q4 1718</w:t>
            </w:r>
          </w:p>
        </w:tc>
        <w:tc>
          <w:tcPr>
            <w:tcW w:w="996" w:type="dxa"/>
            <w:tcBorders>
              <w:top w:val="nil"/>
              <w:left w:val="nil"/>
              <w:bottom w:val="single" w:sz="4" w:space="0" w:color="auto"/>
              <w:right w:val="nil"/>
            </w:tcBorders>
            <w:shd w:val="clear" w:color="auto" w:fill="auto"/>
            <w:noWrap/>
            <w:vAlign w:val="bottom"/>
            <w:hideMark/>
          </w:tcPr>
          <w:p w:rsidR="00F76273" w:rsidRPr="00F76273" w:rsidRDefault="00F76273" w:rsidP="00F76273">
            <w:pPr>
              <w:jc w:val="center"/>
              <w:rPr>
                <w:rFonts w:ascii="Calibri" w:hAnsi="Calibri"/>
                <w:b/>
                <w:color w:val="000000"/>
                <w:sz w:val="20"/>
                <w:szCs w:val="20"/>
                <w:lang w:eastAsia="en-GB"/>
              </w:rPr>
            </w:pPr>
            <w:r w:rsidRPr="00F76273">
              <w:rPr>
                <w:rFonts w:ascii="Calibri" w:hAnsi="Calibri"/>
                <w:b/>
                <w:color w:val="000000"/>
                <w:sz w:val="20"/>
                <w:szCs w:val="20"/>
                <w:lang w:eastAsia="en-GB"/>
              </w:rPr>
              <w:t>Q1 1819</w:t>
            </w:r>
          </w:p>
        </w:tc>
      </w:tr>
      <w:tr w:rsidR="00F76273" w:rsidRPr="00F76273" w:rsidTr="00F76273">
        <w:trPr>
          <w:trHeight w:val="300"/>
          <w:jc w:val="center"/>
        </w:trPr>
        <w:tc>
          <w:tcPr>
            <w:tcW w:w="3588" w:type="dxa"/>
            <w:tcBorders>
              <w:top w:val="single" w:sz="4" w:space="0" w:color="auto"/>
              <w:left w:val="nil"/>
              <w:bottom w:val="single" w:sz="4" w:space="0" w:color="auto"/>
              <w:right w:val="nil"/>
            </w:tcBorders>
            <w:shd w:val="clear" w:color="000000" w:fill="92CDDC"/>
            <w:noWrap/>
            <w:vAlign w:val="bottom"/>
            <w:hideMark/>
          </w:tcPr>
          <w:p w:rsidR="00F76273" w:rsidRPr="00F76273" w:rsidRDefault="00F76273" w:rsidP="00F76273">
            <w:pPr>
              <w:rPr>
                <w:rFonts w:ascii="Calibri" w:hAnsi="Calibri"/>
                <w:b/>
                <w:color w:val="000000"/>
                <w:sz w:val="20"/>
                <w:szCs w:val="20"/>
                <w:lang w:eastAsia="en-GB"/>
              </w:rPr>
            </w:pPr>
            <w:r w:rsidRPr="00F76273">
              <w:rPr>
                <w:rFonts w:ascii="Calibri" w:hAnsi="Calibri"/>
                <w:b/>
                <w:color w:val="000000"/>
                <w:sz w:val="20"/>
                <w:szCs w:val="20"/>
                <w:lang w:eastAsia="en-GB"/>
              </w:rPr>
              <w:t>ENGLAND</w:t>
            </w:r>
          </w:p>
        </w:tc>
        <w:tc>
          <w:tcPr>
            <w:tcW w:w="1336" w:type="dxa"/>
            <w:tcBorders>
              <w:top w:val="nil"/>
              <w:left w:val="nil"/>
              <w:bottom w:val="single" w:sz="4" w:space="0" w:color="auto"/>
              <w:right w:val="nil"/>
            </w:tcBorders>
            <w:shd w:val="clear" w:color="000000" w:fill="92CDDC"/>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91.4%</w:t>
            </w:r>
          </w:p>
        </w:tc>
        <w:tc>
          <w:tcPr>
            <w:tcW w:w="996" w:type="dxa"/>
            <w:tcBorders>
              <w:top w:val="nil"/>
              <w:left w:val="nil"/>
              <w:bottom w:val="single" w:sz="4" w:space="0" w:color="auto"/>
              <w:right w:val="nil"/>
            </w:tcBorders>
            <w:shd w:val="clear" w:color="000000" w:fill="92CDDC"/>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91.3%</w:t>
            </w:r>
          </w:p>
        </w:tc>
        <w:tc>
          <w:tcPr>
            <w:tcW w:w="996" w:type="dxa"/>
            <w:tcBorders>
              <w:top w:val="nil"/>
              <w:left w:val="nil"/>
              <w:bottom w:val="single" w:sz="4" w:space="0" w:color="auto"/>
              <w:right w:val="nil"/>
            </w:tcBorders>
            <w:shd w:val="clear" w:color="000000" w:fill="92CDDC"/>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91.2%</w:t>
            </w:r>
          </w:p>
        </w:tc>
        <w:tc>
          <w:tcPr>
            <w:tcW w:w="996" w:type="dxa"/>
            <w:tcBorders>
              <w:top w:val="nil"/>
              <w:left w:val="nil"/>
              <w:bottom w:val="single" w:sz="4" w:space="0" w:color="auto"/>
              <w:right w:val="nil"/>
            </w:tcBorders>
            <w:shd w:val="clear" w:color="000000" w:fill="92CDDC"/>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0.0%</w:t>
            </w:r>
          </w:p>
        </w:tc>
      </w:tr>
      <w:tr w:rsidR="00F76273" w:rsidRPr="00F76273" w:rsidTr="00F76273">
        <w:trPr>
          <w:trHeight w:val="300"/>
          <w:jc w:val="center"/>
        </w:trPr>
        <w:tc>
          <w:tcPr>
            <w:tcW w:w="3588" w:type="dxa"/>
            <w:tcBorders>
              <w:top w:val="nil"/>
              <w:left w:val="nil"/>
              <w:bottom w:val="single" w:sz="4" w:space="0" w:color="auto"/>
              <w:right w:val="nil"/>
            </w:tcBorders>
            <w:shd w:val="clear" w:color="000000" w:fill="DAEEF3"/>
            <w:noWrap/>
            <w:vAlign w:val="bottom"/>
            <w:hideMark/>
          </w:tcPr>
          <w:p w:rsidR="00F76273" w:rsidRPr="00F76273" w:rsidRDefault="00F76273" w:rsidP="00F76273">
            <w:pPr>
              <w:rPr>
                <w:rFonts w:ascii="Calibri" w:hAnsi="Calibri"/>
                <w:b/>
                <w:color w:val="000000"/>
                <w:sz w:val="20"/>
                <w:szCs w:val="20"/>
                <w:lang w:eastAsia="en-GB"/>
              </w:rPr>
            </w:pPr>
            <w:r w:rsidRPr="00F76273">
              <w:rPr>
                <w:rFonts w:ascii="Calibri" w:hAnsi="Calibri"/>
                <w:b/>
                <w:color w:val="000000"/>
                <w:sz w:val="20"/>
                <w:szCs w:val="20"/>
                <w:lang w:eastAsia="en-GB"/>
              </w:rPr>
              <w:t>London</w:t>
            </w:r>
          </w:p>
        </w:tc>
        <w:tc>
          <w:tcPr>
            <w:tcW w:w="133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84.3%</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84.2%</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85.2%</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82.2%</w:t>
            </w:r>
          </w:p>
        </w:tc>
      </w:tr>
      <w:tr w:rsidR="00F76273" w:rsidRPr="00F76273" w:rsidTr="00F76273">
        <w:trPr>
          <w:trHeight w:val="300"/>
          <w:jc w:val="center"/>
        </w:trPr>
        <w:tc>
          <w:tcPr>
            <w:tcW w:w="3588" w:type="dxa"/>
            <w:tcBorders>
              <w:top w:val="nil"/>
              <w:left w:val="nil"/>
              <w:bottom w:val="single" w:sz="4" w:space="0" w:color="auto"/>
              <w:right w:val="nil"/>
            </w:tcBorders>
            <w:shd w:val="clear" w:color="000000" w:fill="DAEEF3"/>
            <w:noWrap/>
            <w:vAlign w:val="bottom"/>
            <w:hideMark/>
          </w:tcPr>
          <w:p w:rsidR="00F76273" w:rsidRPr="00F76273" w:rsidRDefault="00F76273" w:rsidP="00F76273">
            <w:pPr>
              <w:rPr>
                <w:rFonts w:ascii="Calibri" w:hAnsi="Calibri"/>
                <w:b/>
                <w:color w:val="000000"/>
                <w:sz w:val="20"/>
                <w:szCs w:val="20"/>
                <w:lang w:eastAsia="en-GB"/>
              </w:rPr>
            </w:pPr>
            <w:r w:rsidRPr="00F76273">
              <w:rPr>
                <w:rFonts w:ascii="Calibri" w:hAnsi="Calibri"/>
                <w:b/>
                <w:color w:val="000000"/>
                <w:sz w:val="20"/>
                <w:szCs w:val="20"/>
                <w:lang w:eastAsia="en-GB"/>
              </w:rPr>
              <w:t>LA with highest uptake - London</w:t>
            </w:r>
          </w:p>
        </w:tc>
        <w:tc>
          <w:tcPr>
            <w:tcW w:w="133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93.1%</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91.1%</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92.1%</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92.7%</w:t>
            </w:r>
          </w:p>
        </w:tc>
      </w:tr>
      <w:tr w:rsidR="00F76273" w:rsidRPr="00F76273" w:rsidTr="00F76273">
        <w:trPr>
          <w:trHeight w:val="525"/>
          <w:jc w:val="center"/>
        </w:trPr>
        <w:tc>
          <w:tcPr>
            <w:tcW w:w="3588" w:type="dxa"/>
            <w:tcBorders>
              <w:top w:val="nil"/>
              <w:left w:val="nil"/>
              <w:bottom w:val="nil"/>
              <w:right w:val="nil"/>
            </w:tcBorders>
            <w:shd w:val="clear" w:color="000000" w:fill="F2F2F2"/>
            <w:vAlign w:val="bottom"/>
            <w:hideMark/>
          </w:tcPr>
          <w:p w:rsidR="00F76273" w:rsidRPr="00F76273" w:rsidRDefault="00F76273" w:rsidP="00F76273">
            <w:pPr>
              <w:rPr>
                <w:rFonts w:ascii="Calibri" w:hAnsi="Calibri"/>
                <w:b/>
                <w:color w:val="000000"/>
                <w:sz w:val="20"/>
                <w:szCs w:val="20"/>
                <w:lang w:eastAsia="en-GB"/>
              </w:rPr>
            </w:pPr>
            <w:r w:rsidRPr="00F76273">
              <w:rPr>
                <w:rFonts w:ascii="Calibri" w:hAnsi="Calibri"/>
                <w:b/>
                <w:color w:val="000000"/>
                <w:sz w:val="20"/>
                <w:szCs w:val="20"/>
                <w:lang w:eastAsia="en-GB"/>
              </w:rPr>
              <w:t>North West London STP</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81.9%</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81.3%</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83.4%</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81.5%</w:t>
            </w:r>
          </w:p>
        </w:tc>
      </w:tr>
      <w:tr w:rsidR="00F76273" w:rsidRPr="00F76273" w:rsidTr="00F76273">
        <w:trPr>
          <w:trHeight w:val="300"/>
          <w:jc w:val="center"/>
        </w:trPr>
        <w:tc>
          <w:tcPr>
            <w:tcW w:w="3588"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Brent</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84.1%</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83.5%</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84.8%</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83.7%</w:t>
            </w:r>
          </w:p>
        </w:tc>
      </w:tr>
      <w:tr w:rsidR="00F76273" w:rsidRPr="00F76273" w:rsidTr="00F76273">
        <w:trPr>
          <w:trHeight w:val="300"/>
          <w:jc w:val="center"/>
        </w:trPr>
        <w:tc>
          <w:tcPr>
            <w:tcW w:w="3588" w:type="dxa"/>
            <w:tcBorders>
              <w:top w:val="nil"/>
              <w:left w:val="nil"/>
              <w:bottom w:val="nil"/>
              <w:right w:val="nil"/>
            </w:tcBorders>
            <w:shd w:val="clear" w:color="auto" w:fill="auto"/>
            <w:noWrap/>
            <w:vAlign w:val="bottom"/>
            <w:hideMark/>
          </w:tcPr>
          <w:p w:rsidR="00F76273" w:rsidRPr="00F76273" w:rsidRDefault="005C5EAF" w:rsidP="00F76273">
            <w:pPr>
              <w:ind w:firstLineChars="200" w:firstLine="400"/>
              <w:rPr>
                <w:rFonts w:ascii="Calibri" w:hAnsi="Calibri"/>
                <w:bCs w:val="0"/>
                <w:color w:val="000000"/>
                <w:sz w:val="20"/>
                <w:szCs w:val="20"/>
                <w:lang w:eastAsia="en-GB"/>
              </w:rPr>
            </w:pPr>
            <w:r>
              <w:rPr>
                <w:rFonts w:ascii="Calibri" w:hAnsi="Calibri"/>
                <w:bCs w:val="0"/>
                <w:color w:val="000000"/>
                <w:sz w:val="20"/>
                <w:szCs w:val="20"/>
                <w:lang w:eastAsia="en-GB"/>
              </w:rPr>
              <w:t>Ealing</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82.5%</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83.3%</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84.7%</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82.9%</w:t>
            </w:r>
          </w:p>
        </w:tc>
      </w:tr>
      <w:tr w:rsidR="00F76273" w:rsidRPr="00F76273" w:rsidTr="00F76273">
        <w:trPr>
          <w:trHeight w:val="300"/>
          <w:jc w:val="center"/>
        </w:trPr>
        <w:tc>
          <w:tcPr>
            <w:tcW w:w="3588"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Hammersmith and Fulham</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80.5%</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81.1%</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81.9%</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76.5%</w:t>
            </w:r>
          </w:p>
        </w:tc>
      </w:tr>
      <w:tr w:rsidR="00F76273" w:rsidRPr="00F76273" w:rsidTr="00F76273">
        <w:trPr>
          <w:trHeight w:val="300"/>
          <w:jc w:val="center"/>
        </w:trPr>
        <w:tc>
          <w:tcPr>
            <w:tcW w:w="3588"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Harrow</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82.9%</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83.5%</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84.6%</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82.8%</w:t>
            </w:r>
          </w:p>
        </w:tc>
      </w:tr>
      <w:tr w:rsidR="00F76273" w:rsidRPr="00F76273" w:rsidTr="00F76273">
        <w:trPr>
          <w:trHeight w:val="300"/>
          <w:jc w:val="center"/>
        </w:trPr>
        <w:tc>
          <w:tcPr>
            <w:tcW w:w="3588"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Hillingdon</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86.0%</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83.1%</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88.7%</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84.7%</w:t>
            </w:r>
          </w:p>
        </w:tc>
      </w:tr>
      <w:tr w:rsidR="00F76273" w:rsidRPr="00F76273" w:rsidTr="00F76273">
        <w:trPr>
          <w:trHeight w:val="300"/>
          <w:jc w:val="center"/>
        </w:trPr>
        <w:tc>
          <w:tcPr>
            <w:tcW w:w="3588"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Hounslow</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81.9%</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82.8%</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83.3%</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83.3%</w:t>
            </w:r>
          </w:p>
        </w:tc>
      </w:tr>
      <w:tr w:rsidR="00F76273" w:rsidRPr="00F76273" w:rsidTr="00F76273">
        <w:trPr>
          <w:trHeight w:val="300"/>
          <w:jc w:val="center"/>
        </w:trPr>
        <w:tc>
          <w:tcPr>
            <w:tcW w:w="3588"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Kensington and Chelsea</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75.8%</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72.0%</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75.3%</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75.5%</w:t>
            </w:r>
          </w:p>
        </w:tc>
      </w:tr>
      <w:tr w:rsidR="00F76273" w:rsidRPr="00F76273" w:rsidTr="00F76273">
        <w:trPr>
          <w:trHeight w:val="300"/>
          <w:jc w:val="center"/>
        </w:trPr>
        <w:tc>
          <w:tcPr>
            <w:tcW w:w="3588"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Westminster</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74.2%</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71.5%</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75.3%</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72.5%</w:t>
            </w:r>
          </w:p>
        </w:tc>
      </w:tr>
    </w:tbl>
    <w:p w:rsidR="00F76273" w:rsidRDefault="00F76273" w:rsidP="00DC3F1F">
      <w:pPr>
        <w:spacing w:line="276" w:lineRule="auto"/>
        <w:jc w:val="center"/>
        <w:rPr>
          <w:rFonts w:cs="Arial"/>
          <w:i/>
          <w:szCs w:val="24"/>
        </w:rPr>
      </w:pPr>
    </w:p>
    <w:p w:rsidR="00F76273" w:rsidRDefault="00F76273" w:rsidP="00F76273">
      <w:pPr>
        <w:spacing w:line="276" w:lineRule="auto"/>
        <w:jc w:val="center"/>
        <w:rPr>
          <w:rFonts w:cs="Arial"/>
          <w:i/>
          <w:szCs w:val="24"/>
        </w:rPr>
      </w:pPr>
      <w:r>
        <w:rPr>
          <w:rFonts w:cs="Arial"/>
          <w:i/>
          <w:szCs w:val="24"/>
        </w:rPr>
        <w:t>PCV Vaccine uptake at 2</w:t>
      </w:r>
      <w:r w:rsidRPr="005A20E8">
        <w:rPr>
          <w:rFonts w:cs="Arial"/>
          <w:i/>
          <w:szCs w:val="24"/>
        </w:rPr>
        <w:t xml:space="preserve"> year (quarterly data</w:t>
      </w:r>
      <w:r w:rsidRPr="005A20E8">
        <w:rPr>
          <w:rFonts w:cs="Arial"/>
          <w:b/>
          <w:i/>
          <w:szCs w:val="24"/>
        </w:rPr>
        <w:t>)</w:t>
      </w:r>
      <w:r w:rsidRPr="00952902">
        <w:rPr>
          <w:rFonts w:cs="Arial"/>
          <w:i/>
          <w:szCs w:val="24"/>
        </w:rPr>
        <w:t xml:space="preserve"> (</w:t>
      </w:r>
      <w:r>
        <w:rPr>
          <w:rFonts w:cs="Arial"/>
          <w:i/>
          <w:szCs w:val="24"/>
        </w:rPr>
        <w:t>2017/18 - 2018/19</w:t>
      </w:r>
      <w:r w:rsidRPr="00952902">
        <w:rPr>
          <w:rFonts w:cs="Arial"/>
          <w:i/>
          <w:szCs w:val="24"/>
        </w:rPr>
        <w:t>)</w:t>
      </w:r>
    </w:p>
    <w:p w:rsidR="00F76273" w:rsidRDefault="00F76273" w:rsidP="00F76273">
      <w:pPr>
        <w:spacing w:line="276" w:lineRule="auto"/>
        <w:jc w:val="center"/>
        <w:rPr>
          <w:rFonts w:cs="Arial"/>
          <w:i/>
          <w:szCs w:val="24"/>
        </w:rPr>
      </w:pPr>
    </w:p>
    <w:p w:rsidR="00F76273" w:rsidRDefault="00F76273" w:rsidP="00F76273">
      <w:pPr>
        <w:spacing w:line="276" w:lineRule="auto"/>
        <w:jc w:val="center"/>
        <w:rPr>
          <w:rFonts w:cs="Arial"/>
          <w:i/>
          <w:szCs w:val="24"/>
        </w:rPr>
      </w:pPr>
    </w:p>
    <w:tbl>
      <w:tblPr>
        <w:tblW w:w="7920" w:type="dxa"/>
        <w:jc w:val="center"/>
        <w:tblLook w:val="04A0" w:firstRow="1" w:lastRow="0" w:firstColumn="1" w:lastColumn="0" w:noHBand="0" w:noVBand="1"/>
      </w:tblPr>
      <w:tblGrid>
        <w:gridCol w:w="3596"/>
        <w:gridCol w:w="1336"/>
        <w:gridCol w:w="996"/>
        <w:gridCol w:w="996"/>
        <w:gridCol w:w="996"/>
      </w:tblGrid>
      <w:tr w:rsidR="00F76273" w:rsidRPr="00F76273" w:rsidTr="00F76273">
        <w:trPr>
          <w:trHeight w:val="300"/>
          <w:jc w:val="center"/>
        </w:trPr>
        <w:tc>
          <w:tcPr>
            <w:tcW w:w="3596" w:type="dxa"/>
            <w:tcBorders>
              <w:top w:val="nil"/>
              <w:left w:val="nil"/>
              <w:bottom w:val="nil"/>
              <w:right w:val="nil"/>
            </w:tcBorders>
            <w:shd w:val="clear" w:color="auto" w:fill="auto"/>
            <w:noWrap/>
            <w:vAlign w:val="bottom"/>
            <w:hideMark/>
          </w:tcPr>
          <w:p w:rsidR="00F76273" w:rsidRPr="00F76273" w:rsidRDefault="00F76273" w:rsidP="00F76273">
            <w:pPr>
              <w:rPr>
                <w:rFonts w:ascii="Calibri" w:hAnsi="Calibri"/>
                <w:bCs w:val="0"/>
                <w:color w:val="000000"/>
                <w:sz w:val="22"/>
                <w:szCs w:val="22"/>
                <w:lang w:eastAsia="en-GB"/>
              </w:rPr>
            </w:pPr>
          </w:p>
        </w:tc>
        <w:tc>
          <w:tcPr>
            <w:tcW w:w="1336" w:type="dxa"/>
            <w:tcBorders>
              <w:top w:val="nil"/>
              <w:left w:val="nil"/>
              <w:bottom w:val="single" w:sz="4" w:space="0" w:color="auto"/>
              <w:right w:val="nil"/>
            </w:tcBorders>
            <w:shd w:val="clear" w:color="auto" w:fill="auto"/>
            <w:noWrap/>
            <w:vAlign w:val="bottom"/>
            <w:hideMark/>
          </w:tcPr>
          <w:p w:rsidR="00F76273" w:rsidRPr="00F76273" w:rsidRDefault="00F76273" w:rsidP="00F76273">
            <w:pPr>
              <w:jc w:val="center"/>
              <w:rPr>
                <w:rFonts w:ascii="Calibri" w:hAnsi="Calibri"/>
                <w:b/>
                <w:color w:val="000000"/>
                <w:sz w:val="20"/>
                <w:szCs w:val="20"/>
                <w:lang w:eastAsia="en-GB"/>
              </w:rPr>
            </w:pPr>
            <w:r w:rsidRPr="00F76273">
              <w:rPr>
                <w:rFonts w:ascii="Calibri" w:hAnsi="Calibri"/>
                <w:b/>
                <w:color w:val="000000"/>
                <w:sz w:val="20"/>
                <w:szCs w:val="20"/>
                <w:lang w:eastAsia="en-GB"/>
              </w:rPr>
              <w:t>Q2 1718</w:t>
            </w:r>
          </w:p>
        </w:tc>
        <w:tc>
          <w:tcPr>
            <w:tcW w:w="996" w:type="dxa"/>
            <w:tcBorders>
              <w:top w:val="nil"/>
              <w:left w:val="nil"/>
              <w:bottom w:val="single" w:sz="4" w:space="0" w:color="auto"/>
              <w:right w:val="nil"/>
            </w:tcBorders>
            <w:shd w:val="clear" w:color="auto" w:fill="auto"/>
            <w:noWrap/>
            <w:vAlign w:val="bottom"/>
            <w:hideMark/>
          </w:tcPr>
          <w:p w:rsidR="00F76273" w:rsidRPr="00F76273" w:rsidRDefault="00F76273" w:rsidP="00F76273">
            <w:pPr>
              <w:jc w:val="center"/>
              <w:rPr>
                <w:rFonts w:ascii="Calibri" w:hAnsi="Calibri"/>
                <w:b/>
                <w:color w:val="000000"/>
                <w:sz w:val="20"/>
                <w:szCs w:val="20"/>
                <w:lang w:eastAsia="en-GB"/>
              </w:rPr>
            </w:pPr>
            <w:r w:rsidRPr="00F76273">
              <w:rPr>
                <w:rFonts w:ascii="Calibri" w:hAnsi="Calibri"/>
                <w:b/>
                <w:color w:val="000000"/>
                <w:sz w:val="20"/>
                <w:szCs w:val="20"/>
                <w:lang w:eastAsia="en-GB"/>
              </w:rPr>
              <w:t>Q3 1718</w:t>
            </w:r>
          </w:p>
        </w:tc>
        <w:tc>
          <w:tcPr>
            <w:tcW w:w="996" w:type="dxa"/>
            <w:tcBorders>
              <w:top w:val="nil"/>
              <w:left w:val="nil"/>
              <w:bottom w:val="single" w:sz="4" w:space="0" w:color="auto"/>
              <w:right w:val="nil"/>
            </w:tcBorders>
            <w:shd w:val="clear" w:color="auto" w:fill="auto"/>
            <w:noWrap/>
            <w:vAlign w:val="bottom"/>
            <w:hideMark/>
          </w:tcPr>
          <w:p w:rsidR="00F76273" w:rsidRPr="00F76273" w:rsidRDefault="00F76273" w:rsidP="00F76273">
            <w:pPr>
              <w:jc w:val="center"/>
              <w:rPr>
                <w:rFonts w:ascii="Calibri" w:hAnsi="Calibri"/>
                <w:b/>
                <w:color w:val="000000"/>
                <w:sz w:val="20"/>
                <w:szCs w:val="20"/>
                <w:lang w:eastAsia="en-GB"/>
              </w:rPr>
            </w:pPr>
            <w:r w:rsidRPr="00F76273">
              <w:rPr>
                <w:rFonts w:ascii="Calibri" w:hAnsi="Calibri"/>
                <w:b/>
                <w:color w:val="000000"/>
                <w:sz w:val="20"/>
                <w:szCs w:val="20"/>
                <w:lang w:eastAsia="en-GB"/>
              </w:rPr>
              <w:t>Q4 1718</w:t>
            </w:r>
          </w:p>
        </w:tc>
        <w:tc>
          <w:tcPr>
            <w:tcW w:w="996" w:type="dxa"/>
            <w:tcBorders>
              <w:top w:val="nil"/>
              <w:left w:val="nil"/>
              <w:bottom w:val="single" w:sz="4" w:space="0" w:color="auto"/>
              <w:right w:val="nil"/>
            </w:tcBorders>
            <w:shd w:val="clear" w:color="auto" w:fill="auto"/>
            <w:noWrap/>
            <w:vAlign w:val="bottom"/>
            <w:hideMark/>
          </w:tcPr>
          <w:p w:rsidR="00F76273" w:rsidRPr="00F76273" w:rsidRDefault="00F76273" w:rsidP="00F76273">
            <w:pPr>
              <w:jc w:val="center"/>
              <w:rPr>
                <w:rFonts w:ascii="Calibri" w:hAnsi="Calibri"/>
                <w:b/>
                <w:color w:val="000000"/>
                <w:sz w:val="20"/>
                <w:szCs w:val="20"/>
                <w:lang w:eastAsia="en-GB"/>
              </w:rPr>
            </w:pPr>
            <w:r w:rsidRPr="00F76273">
              <w:rPr>
                <w:rFonts w:ascii="Calibri" w:hAnsi="Calibri"/>
                <w:b/>
                <w:color w:val="000000"/>
                <w:sz w:val="20"/>
                <w:szCs w:val="20"/>
                <w:lang w:eastAsia="en-GB"/>
              </w:rPr>
              <w:t>Q1 1819</w:t>
            </w:r>
          </w:p>
        </w:tc>
      </w:tr>
      <w:tr w:rsidR="00F76273" w:rsidRPr="00F76273" w:rsidTr="00F76273">
        <w:trPr>
          <w:trHeight w:val="300"/>
          <w:jc w:val="center"/>
        </w:trPr>
        <w:tc>
          <w:tcPr>
            <w:tcW w:w="3596" w:type="dxa"/>
            <w:tcBorders>
              <w:top w:val="single" w:sz="4" w:space="0" w:color="auto"/>
              <w:left w:val="nil"/>
              <w:bottom w:val="single" w:sz="4" w:space="0" w:color="auto"/>
              <w:right w:val="nil"/>
            </w:tcBorders>
            <w:shd w:val="clear" w:color="000000" w:fill="92CDDC"/>
            <w:noWrap/>
            <w:vAlign w:val="bottom"/>
            <w:hideMark/>
          </w:tcPr>
          <w:p w:rsidR="00F76273" w:rsidRPr="00F76273" w:rsidRDefault="00F76273" w:rsidP="00F76273">
            <w:pPr>
              <w:rPr>
                <w:rFonts w:ascii="Calibri" w:hAnsi="Calibri"/>
                <w:b/>
                <w:color w:val="000000"/>
                <w:sz w:val="20"/>
                <w:szCs w:val="20"/>
                <w:lang w:eastAsia="en-GB"/>
              </w:rPr>
            </w:pPr>
            <w:r w:rsidRPr="00F76273">
              <w:rPr>
                <w:rFonts w:ascii="Calibri" w:hAnsi="Calibri"/>
                <w:b/>
                <w:color w:val="000000"/>
                <w:sz w:val="20"/>
                <w:szCs w:val="20"/>
                <w:lang w:eastAsia="en-GB"/>
              </w:rPr>
              <w:t>ENGLAND</w:t>
            </w:r>
          </w:p>
        </w:tc>
        <w:tc>
          <w:tcPr>
            <w:tcW w:w="1336" w:type="dxa"/>
            <w:tcBorders>
              <w:top w:val="nil"/>
              <w:left w:val="nil"/>
              <w:bottom w:val="single" w:sz="4" w:space="0" w:color="auto"/>
              <w:right w:val="nil"/>
            </w:tcBorders>
            <w:shd w:val="clear" w:color="000000" w:fill="92CDDC"/>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91.3%</w:t>
            </w:r>
          </w:p>
        </w:tc>
        <w:tc>
          <w:tcPr>
            <w:tcW w:w="996" w:type="dxa"/>
            <w:tcBorders>
              <w:top w:val="nil"/>
              <w:left w:val="nil"/>
              <w:bottom w:val="single" w:sz="4" w:space="0" w:color="auto"/>
              <w:right w:val="nil"/>
            </w:tcBorders>
            <w:shd w:val="clear" w:color="000000" w:fill="92CDDC"/>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91.3%</w:t>
            </w:r>
          </w:p>
        </w:tc>
        <w:tc>
          <w:tcPr>
            <w:tcW w:w="996" w:type="dxa"/>
            <w:tcBorders>
              <w:top w:val="nil"/>
              <w:left w:val="nil"/>
              <w:bottom w:val="single" w:sz="4" w:space="0" w:color="auto"/>
              <w:right w:val="nil"/>
            </w:tcBorders>
            <w:shd w:val="clear" w:color="000000" w:fill="92CDDC"/>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91.2%</w:t>
            </w:r>
          </w:p>
        </w:tc>
        <w:tc>
          <w:tcPr>
            <w:tcW w:w="996" w:type="dxa"/>
            <w:tcBorders>
              <w:top w:val="nil"/>
              <w:left w:val="nil"/>
              <w:bottom w:val="single" w:sz="4" w:space="0" w:color="auto"/>
              <w:right w:val="nil"/>
            </w:tcBorders>
            <w:shd w:val="clear" w:color="000000" w:fill="92CDDC"/>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0.0%</w:t>
            </w:r>
          </w:p>
        </w:tc>
      </w:tr>
      <w:tr w:rsidR="00F76273" w:rsidRPr="00F76273" w:rsidTr="00F76273">
        <w:trPr>
          <w:trHeight w:val="300"/>
          <w:jc w:val="center"/>
        </w:trPr>
        <w:tc>
          <w:tcPr>
            <w:tcW w:w="35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rPr>
                <w:rFonts w:ascii="Calibri" w:hAnsi="Calibri"/>
                <w:b/>
                <w:color w:val="000000"/>
                <w:sz w:val="20"/>
                <w:szCs w:val="20"/>
                <w:lang w:eastAsia="en-GB"/>
              </w:rPr>
            </w:pPr>
            <w:r w:rsidRPr="00F76273">
              <w:rPr>
                <w:rFonts w:ascii="Calibri" w:hAnsi="Calibri"/>
                <w:b/>
                <w:color w:val="000000"/>
                <w:sz w:val="20"/>
                <w:szCs w:val="20"/>
                <w:lang w:eastAsia="en-GB"/>
              </w:rPr>
              <w:t>London</w:t>
            </w:r>
          </w:p>
        </w:tc>
        <w:tc>
          <w:tcPr>
            <w:tcW w:w="133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83.6%</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84.0%</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84.7%</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81.8%</w:t>
            </w:r>
          </w:p>
        </w:tc>
      </w:tr>
      <w:tr w:rsidR="00F76273" w:rsidRPr="00F76273" w:rsidTr="00F76273">
        <w:trPr>
          <w:trHeight w:val="300"/>
          <w:jc w:val="center"/>
        </w:trPr>
        <w:tc>
          <w:tcPr>
            <w:tcW w:w="35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rPr>
                <w:rFonts w:ascii="Calibri" w:hAnsi="Calibri"/>
                <w:b/>
                <w:color w:val="000000"/>
                <w:sz w:val="20"/>
                <w:szCs w:val="20"/>
                <w:lang w:eastAsia="en-GB"/>
              </w:rPr>
            </w:pPr>
            <w:r w:rsidRPr="00F76273">
              <w:rPr>
                <w:rFonts w:ascii="Calibri" w:hAnsi="Calibri"/>
                <w:b/>
                <w:color w:val="000000"/>
                <w:sz w:val="20"/>
                <w:szCs w:val="20"/>
                <w:lang w:eastAsia="en-GB"/>
              </w:rPr>
              <w:t>LA with highest uptake - London</w:t>
            </w:r>
          </w:p>
        </w:tc>
        <w:tc>
          <w:tcPr>
            <w:tcW w:w="133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91.9%</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91.2%</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92.3%</w:t>
            </w:r>
          </w:p>
        </w:tc>
        <w:tc>
          <w:tcPr>
            <w:tcW w:w="996" w:type="dxa"/>
            <w:tcBorders>
              <w:top w:val="nil"/>
              <w:left w:val="nil"/>
              <w:bottom w:val="single" w:sz="4" w:space="0" w:color="auto"/>
              <w:right w:val="nil"/>
            </w:tcBorders>
            <w:shd w:val="clear" w:color="000000" w:fill="DAEEF3"/>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92.0%</w:t>
            </w:r>
          </w:p>
        </w:tc>
      </w:tr>
      <w:tr w:rsidR="00F76273" w:rsidRPr="00F76273" w:rsidTr="00F76273">
        <w:trPr>
          <w:trHeight w:val="525"/>
          <w:jc w:val="center"/>
        </w:trPr>
        <w:tc>
          <w:tcPr>
            <w:tcW w:w="3596" w:type="dxa"/>
            <w:tcBorders>
              <w:top w:val="nil"/>
              <w:left w:val="nil"/>
              <w:bottom w:val="nil"/>
              <w:right w:val="nil"/>
            </w:tcBorders>
            <w:shd w:val="clear" w:color="000000" w:fill="F2F2F2"/>
            <w:vAlign w:val="bottom"/>
            <w:hideMark/>
          </w:tcPr>
          <w:p w:rsidR="00F76273" w:rsidRPr="00F76273" w:rsidRDefault="00F76273" w:rsidP="00F76273">
            <w:pPr>
              <w:rPr>
                <w:rFonts w:ascii="Calibri" w:hAnsi="Calibri"/>
                <w:b/>
                <w:color w:val="000000"/>
                <w:sz w:val="20"/>
                <w:szCs w:val="20"/>
                <w:lang w:eastAsia="en-GB"/>
              </w:rPr>
            </w:pPr>
            <w:r w:rsidRPr="00F76273">
              <w:rPr>
                <w:rFonts w:ascii="Calibri" w:hAnsi="Calibri"/>
                <w:b/>
                <w:color w:val="000000"/>
                <w:sz w:val="20"/>
                <w:szCs w:val="20"/>
                <w:lang w:eastAsia="en-GB"/>
              </w:rPr>
              <w:t>North West London STP</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90.1%</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89.6%</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90.5%</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89.3%</w:t>
            </w:r>
          </w:p>
        </w:tc>
      </w:tr>
      <w:tr w:rsidR="00F76273" w:rsidRPr="00F76273" w:rsidTr="00F76273">
        <w:trPr>
          <w:trHeight w:val="300"/>
          <w:jc w:val="center"/>
        </w:trPr>
        <w:tc>
          <w:tcPr>
            <w:tcW w:w="3596"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Brent</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82.6%</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82.3%</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83.2%</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82.8%</w:t>
            </w:r>
          </w:p>
        </w:tc>
      </w:tr>
      <w:tr w:rsidR="00F76273" w:rsidRPr="00F76273" w:rsidTr="00F76273">
        <w:trPr>
          <w:trHeight w:val="300"/>
          <w:jc w:val="center"/>
        </w:trPr>
        <w:tc>
          <w:tcPr>
            <w:tcW w:w="3596" w:type="dxa"/>
            <w:tcBorders>
              <w:top w:val="nil"/>
              <w:left w:val="nil"/>
              <w:bottom w:val="nil"/>
              <w:right w:val="nil"/>
            </w:tcBorders>
            <w:shd w:val="clear" w:color="auto" w:fill="auto"/>
            <w:noWrap/>
            <w:vAlign w:val="bottom"/>
            <w:hideMark/>
          </w:tcPr>
          <w:p w:rsidR="00F76273" w:rsidRPr="00F76273" w:rsidRDefault="005C5EAF" w:rsidP="00F76273">
            <w:pPr>
              <w:ind w:firstLineChars="200" w:firstLine="400"/>
              <w:rPr>
                <w:rFonts w:ascii="Calibri" w:hAnsi="Calibri"/>
                <w:bCs w:val="0"/>
                <w:color w:val="000000"/>
                <w:sz w:val="20"/>
                <w:szCs w:val="20"/>
                <w:lang w:eastAsia="en-GB"/>
              </w:rPr>
            </w:pPr>
            <w:r>
              <w:rPr>
                <w:rFonts w:ascii="Calibri" w:hAnsi="Calibri"/>
                <w:bCs w:val="0"/>
                <w:color w:val="000000"/>
                <w:sz w:val="20"/>
                <w:szCs w:val="20"/>
                <w:lang w:eastAsia="en-GB"/>
              </w:rPr>
              <w:t>Ealing</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80.6%</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81.8%</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82.4%</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81.3%</w:t>
            </w:r>
          </w:p>
        </w:tc>
      </w:tr>
      <w:tr w:rsidR="00F76273" w:rsidRPr="00F76273" w:rsidTr="00F76273">
        <w:trPr>
          <w:trHeight w:val="300"/>
          <w:jc w:val="center"/>
        </w:trPr>
        <w:tc>
          <w:tcPr>
            <w:tcW w:w="3596"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Hammersmith and Fulham</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79.0%</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79.9%</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80.3%</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74.7%</w:t>
            </w:r>
          </w:p>
        </w:tc>
      </w:tr>
      <w:tr w:rsidR="00F76273" w:rsidRPr="00F76273" w:rsidTr="00F76273">
        <w:trPr>
          <w:trHeight w:val="300"/>
          <w:jc w:val="center"/>
        </w:trPr>
        <w:tc>
          <w:tcPr>
            <w:tcW w:w="3596"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Harrow</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81.7%</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82.5%</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82.6%</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82.4%</w:t>
            </w:r>
          </w:p>
        </w:tc>
      </w:tr>
      <w:tr w:rsidR="00F76273" w:rsidRPr="00F76273" w:rsidTr="00F76273">
        <w:trPr>
          <w:trHeight w:val="300"/>
          <w:jc w:val="center"/>
        </w:trPr>
        <w:tc>
          <w:tcPr>
            <w:tcW w:w="3596"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Hillingdon</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85.5%</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82.6%</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86.9%</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83.0%</w:t>
            </w:r>
          </w:p>
        </w:tc>
      </w:tr>
      <w:tr w:rsidR="00F76273" w:rsidRPr="00F76273" w:rsidTr="00F76273">
        <w:trPr>
          <w:trHeight w:val="300"/>
          <w:jc w:val="center"/>
        </w:trPr>
        <w:tc>
          <w:tcPr>
            <w:tcW w:w="3596"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Hounslow</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79.9%</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79.9%</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79.6%</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81.1%</w:t>
            </w:r>
          </w:p>
        </w:tc>
      </w:tr>
      <w:tr w:rsidR="00F76273" w:rsidRPr="00F76273" w:rsidTr="00F76273">
        <w:trPr>
          <w:trHeight w:val="300"/>
          <w:jc w:val="center"/>
        </w:trPr>
        <w:tc>
          <w:tcPr>
            <w:tcW w:w="3596"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Kensington and Chelsea</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76.4%</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72.9%</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74.5%</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73.3%</w:t>
            </w:r>
          </w:p>
        </w:tc>
      </w:tr>
      <w:tr w:rsidR="00F76273" w:rsidRPr="00F76273" w:rsidTr="00F76273">
        <w:trPr>
          <w:trHeight w:val="300"/>
          <w:jc w:val="center"/>
        </w:trPr>
        <w:tc>
          <w:tcPr>
            <w:tcW w:w="3596" w:type="dxa"/>
            <w:tcBorders>
              <w:top w:val="nil"/>
              <w:left w:val="nil"/>
              <w:bottom w:val="nil"/>
              <w:right w:val="nil"/>
            </w:tcBorders>
            <w:shd w:val="clear" w:color="auto" w:fill="auto"/>
            <w:noWrap/>
            <w:vAlign w:val="bottom"/>
            <w:hideMark/>
          </w:tcPr>
          <w:p w:rsidR="00F76273" w:rsidRPr="00F76273" w:rsidRDefault="00F76273" w:rsidP="00F76273">
            <w:pPr>
              <w:ind w:firstLineChars="200" w:firstLine="400"/>
              <w:rPr>
                <w:rFonts w:ascii="Calibri" w:hAnsi="Calibri"/>
                <w:bCs w:val="0"/>
                <w:color w:val="000000"/>
                <w:sz w:val="20"/>
                <w:szCs w:val="20"/>
                <w:lang w:eastAsia="en-GB"/>
              </w:rPr>
            </w:pPr>
            <w:r w:rsidRPr="00F76273">
              <w:rPr>
                <w:rFonts w:ascii="Calibri" w:hAnsi="Calibri"/>
                <w:bCs w:val="0"/>
                <w:color w:val="000000"/>
                <w:sz w:val="20"/>
                <w:szCs w:val="20"/>
                <w:lang w:eastAsia="en-GB"/>
              </w:rPr>
              <w:t>Westminster</w:t>
            </w:r>
          </w:p>
        </w:tc>
        <w:tc>
          <w:tcPr>
            <w:tcW w:w="133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72.8%</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70.9%</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74.1%</w:t>
            </w:r>
          </w:p>
        </w:tc>
        <w:tc>
          <w:tcPr>
            <w:tcW w:w="996" w:type="dxa"/>
            <w:tcBorders>
              <w:top w:val="nil"/>
              <w:left w:val="nil"/>
              <w:bottom w:val="nil"/>
              <w:right w:val="nil"/>
            </w:tcBorders>
            <w:shd w:val="clear" w:color="000000" w:fill="FFFFFF"/>
            <w:noWrap/>
            <w:vAlign w:val="bottom"/>
            <w:hideMark/>
          </w:tcPr>
          <w:p w:rsidR="00F76273" w:rsidRPr="00F76273" w:rsidRDefault="00F76273" w:rsidP="00F76273">
            <w:pPr>
              <w:jc w:val="right"/>
              <w:rPr>
                <w:rFonts w:ascii="Calibri" w:hAnsi="Calibri"/>
                <w:b/>
                <w:color w:val="000000"/>
                <w:sz w:val="20"/>
                <w:szCs w:val="20"/>
                <w:lang w:eastAsia="en-GB"/>
              </w:rPr>
            </w:pPr>
            <w:r w:rsidRPr="00F76273">
              <w:rPr>
                <w:rFonts w:ascii="Calibri" w:hAnsi="Calibri"/>
                <w:b/>
                <w:color w:val="000000"/>
                <w:sz w:val="20"/>
                <w:szCs w:val="20"/>
                <w:lang w:eastAsia="en-GB"/>
              </w:rPr>
              <w:t>71.3%</w:t>
            </w:r>
          </w:p>
        </w:tc>
      </w:tr>
    </w:tbl>
    <w:p w:rsidR="00DC3F1F" w:rsidRDefault="00DC3F1F" w:rsidP="00F76273">
      <w:pPr>
        <w:spacing w:after="200" w:line="276" w:lineRule="auto"/>
        <w:rPr>
          <w:rFonts w:cs="Arial"/>
          <w:i/>
          <w:szCs w:val="24"/>
        </w:rPr>
      </w:pPr>
    </w:p>
    <w:p w:rsidR="00DC3F1F" w:rsidRDefault="00DC3F1F" w:rsidP="000423B5">
      <w:pPr>
        <w:spacing w:after="200" w:line="276" w:lineRule="auto"/>
        <w:jc w:val="right"/>
        <w:rPr>
          <w:rFonts w:cs="Arial"/>
          <w:i/>
          <w:szCs w:val="24"/>
        </w:rPr>
      </w:pPr>
      <w:r>
        <w:rPr>
          <w:rFonts w:cs="Arial"/>
          <w:i/>
          <w:szCs w:val="24"/>
        </w:rPr>
        <w:t>Source: PHE (2018</w:t>
      </w:r>
      <w:r w:rsidRPr="00952902">
        <w:rPr>
          <w:rFonts w:cs="Arial"/>
          <w:i/>
          <w:szCs w:val="24"/>
        </w:rPr>
        <w:t>)</w:t>
      </w:r>
    </w:p>
    <w:p w:rsidR="00F76273" w:rsidRDefault="00F76273" w:rsidP="000423B5">
      <w:pPr>
        <w:spacing w:after="200" w:line="276" w:lineRule="auto"/>
        <w:jc w:val="right"/>
        <w:rPr>
          <w:rFonts w:cs="Arial"/>
          <w:i/>
          <w:szCs w:val="24"/>
        </w:rPr>
      </w:pPr>
    </w:p>
    <w:p w:rsidR="00F76273" w:rsidRDefault="00F76273" w:rsidP="000423B5">
      <w:pPr>
        <w:spacing w:after="200" w:line="276" w:lineRule="auto"/>
        <w:jc w:val="right"/>
        <w:rPr>
          <w:rFonts w:cs="Arial"/>
          <w:i/>
          <w:szCs w:val="24"/>
        </w:rPr>
      </w:pPr>
    </w:p>
    <w:p w:rsidR="00F76273" w:rsidRDefault="00F76273" w:rsidP="000423B5">
      <w:pPr>
        <w:spacing w:after="200" w:line="276" w:lineRule="auto"/>
        <w:jc w:val="right"/>
        <w:rPr>
          <w:rFonts w:cs="Arial"/>
          <w:i/>
          <w:szCs w:val="24"/>
        </w:rPr>
      </w:pPr>
    </w:p>
    <w:p w:rsidR="00F76273" w:rsidRDefault="00F76273" w:rsidP="000423B5">
      <w:pPr>
        <w:spacing w:after="200" w:line="276" w:lineRule="auto"/>
        <w:jc w:val="right"/>
        <w:rPr>
          <w:rFonts w:cs="Arial"/>
          <w:i/>
          <w:szCs w:val="24"/>
        </w:rPr>
      </w:pPr>
    </w:p>
    <w:p w:rsidR="00301801" w:rsidRPr="005A20E8" w:rsidRDefault="00301801" w:rsidP="00301801">
      <w:pPr>
        <w:spacing w:line="276" w:lineRule="auto"/>
        <w:jc w:val="center"/>
        <w:rPr>
          <w:rFonts w:cs="Arial"/>
          <w:b/>
          <w:i/>
          <w:szCs w:val="24"/>
        </w:rPr>
      </w:pPr>
      <w:r>
        <w:rPr>
          <w:rFonts w:cs="Arial"/>
          <w:i/>
          <w:szCs w:val="24"/>
        </w:rPr>
        <w:lastRenderedPageBreak/>
        <w:t>F</w:t>
      </w:r>
      <w:r w:rsidRPr="00952902">
        <w:rPr>
          <w:rFonts w:cs="Arial"/>
          <w:i/>
          <w:szCs w:val="24"/>
        </w:rPr>
        <w:t xml:space="preserve">igure </w:t>
      </w:r>
      <w:r w:rsidR="00DC3E65">
        <w:rPr>
          <w:rFonts w:cs="Arial"/>
          <w:i/>
          <w:szCs w:val="24"/>
        </w:rPr>
        <w:t>5</w:t>
      </w:r>
    </w:p>
    <w:p w:rsidR="00301801" w:rsidRDefault="00301801" w:rsidP="00301801">
      <w:pPr>
        <w:spacing w:line="276" w:lineRule="auto"/>
        <w:jc w:val="center"/>
        <w:rPr>
          <w:rFonts w:cs="Arial"/>
          <w:i/>
          <w:szCs w:val="24"/>
        </w:rPr>
      </w:pPr>
      <w:r>
        <w:rPr>
          <w:rFonts w:cs="Arial"/>
          <w:i/>
          <w:szCs w:val="24"/>
        </w:rPr>
        <w:t xml:space="preserve">MMR Vaccine Dose 2 – </w:t>
      </w:r>
      <w:r w:rsidR="002F0C98">
        <w:rPr>
          <w:rFonts w:cs="Arial"/>
          <w:i/>
          <w:szCs w:val="24"/>
        </w:rPr>
        <w:t xml:space="preserve">measured at </w:t>
      </w:r>
      <w:r>
        <w:rPr>
          <w:rFonts w:cs="Arial"/>
          <w:i/>
          <w:szCs w:val="24"/>
        </w:rPr>
        <w:t>5</w:t>
      </w:r>
      <w:r w:rsidRPr="005A20E8">
        <w:rPr>
          <w:rFonts w:cs="Arial"/>
          <w:i/>
          <w:szCs w:val="24"/>
        </w:rPr>
        <w:t xml:space="preserve"> year</w:t>
      </w:r>
      <w:r>
        <w:rPr>
          <w:rFonts w:cs="Arial"/>
          <w:i/>
          <w:szCs w:val="24"/>
        </w:rPr>
        <w:t>s</w:t>
      </w:r>
      <w:r w:rsidR="002F0C98">
        <w:rPr>
          <w:rFonts w:cs="Arial"/>
          <w:i/>
          <w:szCs w:val="24"/>
        </w:rPr>
        <w:t xml:space="preserve"> of age</w:t>
      </w:r>
      <w:r w:rsidRPr="005A20E8">
        <w:rPr>
          <w:rFonts w:cs="Arial"/>
          <w:i/>
          <w:szCs w:val="24"/>
        </w:rPr>
        <w:t xml:space="preserve"> </w:t>
      </w:r>
      <w:r w:rsidR="000A5B76">
        <w:rPr>
          <w:rFonts w:cs="Arial"/>
          <w:i/>
          <w:szCs w:val="24"/>
        </w:rPr>
        <w:t>(quarterly data Q1 17/18 to Q1 2018/19</w:t>
      </w:r>
      <w:r w:rsidR="002F0C98" w:rsidRPr="00952902">
        <w:rPr>
          <w:rFonts w:cs="Arial"/>
          <w:i/>
          <w:szCs w:val="24"/>
        </w:rPr>
        <w:t>)</w:t>
      </w:r>
    </w:p>
    <w:p w:rsidR="00301801" w:rsidRDefault="000A5B76" w:rsidP="00301801">
      <w:pPr>
        <w:spacing w:after="200" w:line="276" w:lineRule="auto"/>
        <w:jc w:val="center"/>
        <w:rPr>
          <w:rFonts w:cs="Arial"/>
          <w:i/>
          <w:szCs w:val="24"/>
        </w:rPr>
      </w:pPr>
      <w:r w:rsidRPr="000A5B76">
        <w:rPr>
          <w:rFonts w:cs="Arial"/>
          <w:i/>
          <w:noProof/>
          <w:szCs w:val="24"/>
          <w:lang w:eastAsia="en-GB"/>
        </w:rPr>
        <w:drawing>
          <wp:inline distT="0" distB="0" distL="0" distR="0" wp14:anchorId="6C8C62FA" wp14:editId="60BDFA3E">
            <wp:extent cx="6286500" cy="3648075"/>
            <wp:effectExtent l="0" t="0" r="0" b="9525"/>
            <wp:docPr id="545"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0"/>
                    <a:stretch>
                      <a:fillRect/>
                    </a:stretch>
                  </pic:blipFill>
                  <pic:spPr>
                    <a:xfrm>
                      <a:off x="0" y="0"/>
                      <a:ext cx="6289275" cy="3649686"/>
                    </a:xfrm>
                    <a:prstGeom prst="rect">
                      <a:avLst/>
                    </a:prstGeom>
                  </pic:spPr>
                </pic:pic>
              </a:graphicData>
            </a:graphic>
          </wp:inline>
        </w:drawing>
      </w:r>
    </w:p>
    <w:p w:rsidR="00301801" w:rsidRDefault="00301801" w:rsidP="00B24126">
      <w:pPr>
        <w:spacing w:after="200" w:line="276" w:lineRule="auto"/>
        <w:jc w:val="right"/>
        <w:rPr>
          <w:rFonts w:cs="Arial"/>
          <w:i/>
          <w:szCs w:val="24"/>
        </w:rPr>
      </w:pPr>
    </w:p>
    <w:p w:rsidR="00301801" w:rsidRDefault="000A5B76" w:rsidP="000A5B76">
      <w:pPr>
        <w:spacing w:after="200" w:line="276" w:lineRule="auto"/>
        <w:rPr>
          <w:rFonts w:cs="Arial"/>
          <w:i/>
          <w:szCs w:val="24"/>
        </w:rPr>
      </w:pPr>
      <w:r w:rsidRPr="000A5B76">
        <w:rPr>
          <w:rFonts w:cs="Arial"/>
          <w:i/>
          <w:noProof/>
          <w:szCs w:val="24"/>
          <w:lang w:eastAsia="en-GB"/>
        </w:rPr>
        <w:drawing>
          <wp:inline distT="0" distB="0" distL="0" distR="0" wp14:anchorId="040CBF09" wp14:editId="78096973">
            <wp:extent cx="6362700" cy="2724150"/>
            <wp:effectExtent l="0" t="0" r="0" b="0"/>
            <wp:docPr id="546"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21"/>
                    <a:stretch>
                      <a:fillRect/>
                    </a:stretch>
                  </pic:blipFill>
                  <pic:spPr>
                    <a:xfrm>
                      <a:off x="0" y="0"/>
                      <a:ext cx="6362700" cy="2724150"/>
                    </a:xfrm>
                    <a:prstGeom prst="rect">
                      <a:avLst/>
                    </a:prstGeom>
                  </pic:spPr>
                </pic:pic>
              </a:graphicData>
            </a:graphic>
          </wp:inline>
        </w:drawing>
      </w:r>
    </w:p>
    <w:p w:rsidR="00301801" w:rsidRDefault="00301801" w:rsidP="000423B5">
      <w:pPr>
        <w:spacing w:after="200" w:line="276" w:lineRule="auto"/>
        <w:jc w:val="right"/>
        <w:rPr>
          <w:rFonts w:cs="Arial"/>
          <w:i/>
          <w:szCs w:val="24"/>
        </w:rPr>
      </w:pPr>
      <w:r>
        <w:rPr>
          <w:rFonts w:cs="Arial"/>
          <w:i/>
          <w:szCs w:val="24"/>
        </w:rPr>
        <w:t>Source: PHE (2018</w:t>
      </w:r>
      <w:r w:rsidRPr="00952902">
        <w:rPr>
          <w:rFonts w:cs="Arial"/>
          <w:i/>
          <w:szCs w:val="24"/>
        </w:rPr>
        <w:t>)</w:t>
      </w:r>
    </w:p>
    <w:p w:rsidR="00F76273" w:rsidRDefault="00F76273" w:rsidP="00301801">
      <w:pPr>
        <w:spacing w:line="276" w:lineRule="auto"/>
        <w:jc w:val="center"/>
        <w:rPr>
          <w:rFonts w:cs="Arial"/>
          <w:i/>
          <w:szCs w:val="24"/>
        </w:rPr>
      </w:pPr>
    </w:p>
    <w:p w:rsidR="00F76273" w:rsidRDefault="00F76273" w:rsidP="00301801">
      <w:pPr>
        <w:spacing w:line="276" w:lineRule="auto"/>
        <w:jc w:val="center"/>
        <w:rPr>
          <w:rFonts w:cs="Arial"/>
          <w:i/>
          <w:szCs w:val="24"/>
        </w:rPr>
      </w:pPr>
    </w:p>
    <w:p w:rsidR="00F76273" w:rsidRDefault="00F76273" w:rsidP="00301801">
      <w:pPr>
        <w:spacing w:line="276" w:lineRule="auto"/>
        <w:jc w:val="center"/>
        <w:rPr>
          <w:rFonts w:cs="Arial"/>
          <w:i/>
          <w:szCs w:val="24"/>
        </w:rPr>
      </w:pPr>
    </w:p>
    <w:p w:rsidR="00F76273" w:rsidRDefault="00F76273" w:rsidP="00301801">
      <w:pPr>
        <w:spacing w:line="276" w:lineRule="auto"/>
        <w:jc w:val="center"/>
        <w:rPr>
          <w:rFonts w:cs="Arial"/>
          <w:i/>
          <w:szCs w:val="24"/>
        </w:rPr>
      </w:pPr>
    </w:p>
    <w:p w:rsidR="00301801" w:rsidRPr="005A20E8" w:rsidRDefault="00301801" w:rsidP="00301801">
      <w:pPr>
        <w:spacing w:line="276" w:lineRule="auto"/>
        <w:jc w:val="center"/>
        <w:rPr>
          <w:rFonts w:cs="Arial"/>
          <w:b/>
          <w:i/>
          <w:szCs w:val="24"/>
        </w:rPr>
      </w:pPr>
      <w:r>
        <w:rPr>
          <w:rFonts w:cs="Arial"/>
          <w:i/>
          <w:szCs w:val="24"/>
        </w:rPr>
        <w:lastRenderedPageBreak/>
        <w:t>F</w:t>
      </w:r>
      <w:r w:rsidRPr="00952902">
        <w:rPr>
          <w:rFonts w:cs="Arial"/>
          <w:i/>
          <w:szCs w:val="24"/>
        </w:rPr>
        <w:t xml:space="preserve">igure </w:t>
      </w:r>
      <w:r w:rsidR="00DC3E65">
        <w:rPr>
          <w:rFonts w:cs="Arial"/>
          <w:i/>
          <w:szCs w:val="24"/>
        </w:rPr>
        <w:t>6</w:t>
      </w:r>
    </w:p>
    <w:p w:rsidR="00301801" w:rsidRDefault="00301801" w:rsidP="00301801">
      <w:pPr>
        <w:spacing w:line="276" w:lineRule="auto"/>
        <w:jc w:val="center"/>
        <w:rPr>
          <w:rFonts w:cs="Arial"/>
          <w:i/>
          <w:szCs w:val="24"/>
        </w:rPr>
      </w:pPr>
      <w:r w:rsidRPr="005A20E8">
        <w:rPr>
          <w:rFonts w:cs="Arial"/>
          <w:i/>
          <w:szCs w:val="24"/>
        </w:rPr>
        <w:t>DTAP/IPV</w:t>
      </w:r>
      <w:r>
        <w:rPr>
          <w:rFonts w:cs="Arial"/>
          <w:i/>
          <w:szCs w:val="24"/>
        </w:rPr>
        <w:t xml:space="preserve"> (Pre School Booster) Vaccine – </w:t>
      </w:r>
      <w:r w:rsidR="002F0C98">
        <w:rPr>
          <w:rFonts w:cs="Arial"/>
          <w:i/>
          <w:szCs w:val="24"/>
        </w:rPr>
        <w:t xml:space="preserve">measured at </w:t>
      </w:r>
      <w:r>
        <w:rPr>
          <w:rFonts w:cs="Arial"/>
          <w:i/>
          <w:szCs w:val="24"/>
        </w:rPr>
        <w:t>5</w:t>
      </w:r>
      <w:r w:rsidRPr="005A20E8">
        <w:rPr>
          <w:rFonts w:cs="Arial"/>
          <w:i/>
          <w:szCs w:val="24"/>
        </w:rPr>
        <w:t xml:space="preserve"> year</w:t>
      </w:r>
      <w:r>
        <w:rPr>
          <w:rFonts w:cs="Arial"/>
          <w:i/>
          <w:szCs w:val="24"/>
        </w:rPr>
        <w:t>s</w:t>
      </w:r>
      <w:r w:rsidR="002F0C98">
        <w:rPr>
          <w:rFonts w:cs="Arial"/>
          <w:i/>
          <w:szCs w:val="24"/>
        </w:rPr>
        <w:t xml:space="preserve"> of age</w:t>
      </w:r>
      <w:r w:rsidRPr="005A20E8">
        <w:rPr>
          <w:rFonts w:cs="Arial"/>
          <w:i/>
          <w:szCs w:val="24"/>
        </w:rPr>
        <w:t xml:space="preserve"> </w:t>
      </w:r>
      <w:r w:rsidR="000A5B76">
        <w:rPr>
          <w:rFonts w:cs="Arial"/>
          <w:i/>
          <w:szCs w:val="24"/>
        </w:rPr>
        <w:t>(quarterly data Q1 17/18 to Q1 2018/19</w:t>
      </w:r>
      <w:r w:rsidR="002F0C98" w:rsidRPr="00952902">
        <w:rPr>
          <w:rFonts w:cs="Arial"/>
          <w:i/>
          <w:szCs w:val="24"/>
        </w:rPr>
        <w:t>)</w:t>
      </w:r>
    </w:p>
    <w:p w:rsidR="000A5B76" w:rsidRDefault="000A5B76" w:rsidP="00301801">
      <w:pPr>
        <w:spacing w:line="276" w:lineRule="auto"/>
        <w:jc w:val="center"/>
        <w:rPr>
          <w:rFonts w:cs="Arial"/>
          <w:i/>
          <w:szCs w:val="24"/>
        </w:rPr>
      </w:pPr>
    </w:p>
    <w:p w:rsidR="000A5B76" w:rsidRDefault="000A5B76" w:rsidP="00325C91">
      <w:pPr>
        <w:jc w:val="right"/>
        <w:rPr>
          <w:i/>
        </w:rPr>
      </w:pPr>
      <w:r w:rsidRPr="000A5B76">
        <w:rPr>
          <w:i/>
          <w:noProof/>
          <w:lang w:eastAsia="en-GB"/>
        </w:rPr>
        <w:drawing>
          <wp:inline distT="0" distB="0" distL="0" distR="0" wp14:anchorId="598E17AE" wp14:editId="3B2F5D1B">
            <wp:extent cx="5934075" cy="3219450"/>
            <wp:effectExtent l="0" t="0" r="9525" b="0"/>
            <wp:docPr id="54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22"/>
                    <a:stretch>
                      <a:fillRect/>
                    </a:stretch>
                  </pic:blipFill>
                  <pic:spPr>
                    <a:xfrm>
                      <a:off x="0" y="0"/>
                      <a:ext cx="5936695" cy="3220871"/>
                    </a:xfrm>
                    <a:prstGeom prst="rect">
                      <a:avLst/>
                    </a:prstGeom>
                  </pic:spPr>
                </pic:pic>
              </a:graphicData>
            </a:graphic>
          </wp:inline>
        </w:drawing>
      </w:r>
    </w:p>
    <w:p w:rsidR="000A5B76" w:rsidRDefault="000A5B76" w:rsidP="00325C91">
      <w:pPr>
        <w:jc w:val="right"/>
        <w:rPr>
          <w:i/>
        </w:rPr>
      </w:pPr>
    </w:p>
    <w:p w:rsidR="00301801" w:rsidRDefault="000A5B76" w:rsidP="0050429E">
      <w:pPr>
        <w:jc w:val="right"/>
        <w:rPr>
          <w:i/>
        </w:rPr>
      </w:pPr>
      <w:r w:rsidRPr="000A5B76">
        <w:rPr>
          <w:i/>
          <w:noProof/>
          <w:lang w:eastAsia="en-GB"/>
        </w:rPr>
        <w:drawing>
          <wp:inline distT="0" distB="0" distL="0" distR="0" wp14:anchorId="2489E538" wp14:editId="592B5A5A">
            <wp:extent cx="5934075" cy="2352675"/>
            <wp:effectExtent l="0" t="0" r="0" b="9525"/>
            <wp:docPr id="54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23"/>
                    <a:stretch>
                      <a:fillRect/>
                    </a:stretch>
                  </pic:blipFill>
                  <pic:spPr>
                    <a:xfrm>
                      <a:off x="0" y="0"/>
                      <a:ext cx="5936695" cy="2353714"/>
                    </a:xfrm>
                    <a:prstGeom prst="rect">
                      <a:avLst/>
                    </a:prstGeom>
                  </pic:spPr>
                </pic:pic>
              </a:graphicData>
            </a:graphic>
          </wp:inline>
        </w:drawing>
      </w:r>
    </w:p>
    <w:p w:rsidR="00301801" w:rsidRDefault="00301801" w:rsidP="00325C91">
      <w:pPr>
        <w:jc w:val="right"/>
        <w:rPr>
          <w:i/>
        </w:rPr>
      </w:pPr>
    </w:p>
    <w:p w:rsidR="00F5242E" w:rsidRPr="007E6A76" w:rsidRDefault="00301801" w:rsidP="007E6A76">
      <w:pPr>
        <w:spacing w:after="200" w:line="276" w:lineRule="auto"/>
        <w:jc w:val="right"/>
        <w:rPr>
          <w:rFonts w:cs="Arial"/>
          <w:i/>
          <w:szCs w:val="24"/>
        </w:rPr>
      </w:pPr>
      <w:r>
        <w:rPr>
          <w:rFonts w:cs="Arial"/>
          <w:i/>
          <w:szCs w:val="24"/>
        </w:rPr>
        <w:t>Source: PHE (2018</w:t>
      </w:r>
      <w:r w:rsidRPr="00952902">
        <w:rPr>
          <w:rFonts w:cs="Arial"/>
          <w:i/>
          <w:szCs w:val="24"/>
        </w:rPr>
        <w:t>)</w:t>
      </w:r>
    </w:p>
    <w:p w:rsidR="00F5242E" w:rsidRPr="00F5242E" w:rsidRDefault="00F5242E">
      <w:pPr>
        <w:rPr>
          <w:rFonts w:cs="Arial"/>
          <w:i/>
          <w:sz w:val="20"/>
          <w:szCs w:val="20"/>
        </w:rPr>
      </w:pPr>
    </w:p>
    <w:p w:rsidR="00952902" w:rsidRPr="00AB6724" w:rsidRDefault="003C1228" w:rsidP="00815046">
      <w:pPr>
        <w:pStyle w:val="Heading2"/>
        <w:jc w:val="both"/>
        <w:rPr>
          <w:rFonts w:cs="Arial"/>
        </w:rPr>
      </w:pPr>
      <w:bookmarkStart w:id="11" w:name="_Toc531010363"/>
      <w:r w:rsidRPr="000F4DBF">
        <w:rPr>
          <w:rFonts w:cs="Arial"/>
        </w:rPr>
        <w:t>Rotavirus</w:t>
      </w:r>
      <w:bookmarkEnd w:id="11"/>
    </w:p>
    <w:p w:rsidR="003232A8" w:rsidRDefault="003232A8" w:rsidP="00815046">
      <w:pPr>
        <w:pStyle w:val="ListParagraph"/>
        <w:numPr>
          <w:ilvl w:val="0"/>
          <w:numId w:val="3"/>
        </w:numPr>
        <w:jc w:val="both"/>
        <w:rPr>
          <w:rFonts w:cs="Arial"/>
          <w:szCs w:val="24"/>
        </w:rPr>
      </w:pPr>
      <w:r>
        <w:rPr>
          <w:rFonts w:cs="Arial"/>
          <w:szCs w:val="24"/>
        </w:rPr>
        <w:t>Rotavirus</w:t>
      </w:r>
      <w:r w:rsidR="009B7A3B">
        <w:rPr>
          <w:rFonts w:cs="Arial"/>
          <w:szCs w:val="24"/>
        </w:rPr>
        <w:t xml:space="preserve"> is a contagious virus that causes gastroenteritis.</w:t>
      </w:r>
    </w:p>
    <w:p w:rsidR="00C01C87" w:rsidRDefault="00706202" w:rsidP="00815046">
      <w:pPr>
        <w:pStyle w:val="ListParagraph"/>
        <w:numPr>
          <w:ilvl w:val="0"/>
          <w:numId w:val="3"/>
        </w:numPr>
        <w:jc w:val="both"/>
        <w:rPr>
          <w:rFonts w:cs="Arial"/>
          <w:szCs w:val="24"/>
        </w:rPr>
      </w:pPr>
      <w:r>
        <w:rPr>
          <w:rFonts w:cs="Arial"/>
          <w:szCs w:val="24"/>
        </w:rPr>
        <w:t>Rotavirus vaccine was introduced into the Routine Childhood Immunisa</w:t>
      </w:r>
      <w:r w:rsidR="00620D56">
        <w:rPr>
          <w:rFonts w:cs="Arial"/>
          <w:szCs w:val="24"/>
        </w:rPr>
        <w:t>tion Schedule in 2013/14 and has been reported as part of COVER since 2016.</w:t>
      </w:r>
      <w:r>
        <w:rPr>
          <w:rFonts w:cs="Arial"/>
          <w:szCs w:val="24"/>
        </w:rPr>
        <w:t xml:space="preserve">  </w:t>
      </w:r>
    </w:p>
    <w:p w:rsidR="00F5242E" w:rsidRPr="00571197" w:rsidRDefault="00D80DCD" w:rsidP="00815046">
      <w:pPr>
        <w:pStyle w:val="ListParagraph"/>
        <w:numPr>
          <w:ilvl w:val="0"/>
          <w:numId w:val="3"/>
        </w:numPr>
        <w:jc w:val="both"/>
        <w:rPr>
          <w:rFonts w:cs="Arial"/>
          <w:i/>
          <w:szCs w:val="24"/>
        </w:rPr>
      </w:pPr>
      <w:r w:rsidRPr="007F4FBF">
        <w:rPr>
          <w:rFonts w:cs="Arial"/>
          <w:szCs w:val="24"/>
        </w:rPr>
        <w:t xml:space="preserve">In </w:t>
      </w:r>
      <w:r w:rsidR="00E3016F" w:rsidRPr="007F4FBF">
        <w:rPr>
          <w:rFonts w:cs="Arial"/>
          <w:szCs w:val="24"/>
        </w:rPr>
        <w:t>Harrow</w:t>
      </w:r>
      <w:r w:rsidR="006C1CA1" w:rsidRPr="007F4FBF">
        <w:rPr>
          <w:rFonts w:cs="Arial"/>
          <w:szCs w:val="24"/>
        </w:rPr>
        <w:t xml:space="preserve">, coverage (i.e. the 2 doses) </w:t>
      </w:r>
      <w:r w:rsidR="0034545E" w:rsidRPr="007F4FBF">
        <w:rPr>
          <w:rFonts w:cs="Arial"/>
          <w:szCs w:val="24"/>
        </w:rPr>
        <w:t xml:space="preserve">of Rotavirus </w:t>
      </w:r>
      <w:r w:rsidR="00DC3E65" w:rsidRPr="007F4FBF">
        <w:rPr>
          <w:rFonts w:cs="Arial"/>
          <w:szCs w:val="24"/>
        </w:rPr>
        <w:t xml:space="preserve">has mostly been above London </w:t>
      </w:r>
      <w:r w:rsidR="003C3BFA" w:rsidRPr="007F4FBF">
        <w:rPr>
          <w:rFonts w:cs="Arial"/>
          <w:szCs w:val="24"/>
        </w:rPr>
        <w:t>average</w:t>
      </w:r>
      <w:r w:rsidR="00DC3E65" w:rsidRPr="007F4FBF">
        <w:rPr>
          <w:rFonts w:cs="Arial"/>
          <w:szCs w:val="24"/>
        </w:rPr>
        <w:t>s and clos</w:t>
      </w:r>
      <w:r w:rsidR="00AE00CD" w:rsidRPr="007F4FBF">
        <w:rPr>
          <w:rFonts w:cs="Arial"/>
          <w:szCs w:val="24"/>
        </w:rPr>
        <w:t>e to England averages (Figure 7</w:t>
      </w:r>
      <w:r w:rsidR="00F76273" w:rsidRPr="007F4FBF">
        <w:rPr>
          <w:rFonts w:cs="Arial"/>
          <w:szCs w:val="24"/>
        </w:rPr>
        <w:t xml:space="preserve">) and was </w:t>
      </w:r>
      <w:r w:rsidR="007F4FBF" w:rsidRPr="007F4FBF">
        <w:rPr>
          <w:rFonts w:cs="Arial"/>
          <w:szCs w:val="24"/>
        </w:rPr>
        <w:t>85.1</w:t>
      </w:r>
      <w:r w:rsidR="00F76273" w:rsidRPr="007F4FBF">
        <w:rPr>
          <w:rFonts w:cs="Arial"/>
          <w:szCs w:val="24"/>
        </w:rPr>
        <w:t>% in Q1 2018/19</w:t>
      </w:r>
      <w:r w:rsidR="00DC3E65" w:rsidRPr="007F4FBF">
        <w:rPr>
          <w:rFonts w:cs="Arial"/>
          <w:szCs w:val="24"/>
        </w:rPr>
        <w:t xml:space="preserve"> compared to </w:t>
      </w:r>
      <w:r w:rsidR="00D55E97" w:rsidRPr="007F4FBF">
        <w:rPr>
          <w:rFonts w:cs="Arial"/>
          <w:szCs w:val="24"/>
        </w:rPr>
        <w:t>London’s</w:t>
      </w:r>
      <w:r w:rsidR="00DC3E65" w:rsidRPr="007F4FBF">
        <w:rPr>
          <w:rFonts w:cs="Arial"/>
          <w:szCs w:val="24"/>
        </w:rPr>
        <w:t xml:space="preserve"> </w:t>
      </w:r>
      <w:r w:rsidR="00D55E97" w:rsidRPr="007F4FBF">
        <w:rPr>
          <w:rFonts w:cs="Arial"/>
          <w:szCs w:val="24"/>
        </w:rPr>
        <w:t>84.7</w:t>
      </w:r>
      <w:r w:rsidR="00AE00CD" w:rsidRPr="007F4FBF">
        <w:rPr>
          <w:rFonts w:cs="Arial"/>
          <w:szCs w:val="24"/>
        </w:rPr>
        <w:t>%.</w:t>
      </w:r>
      <w:r w:rsidR="00AE00CD">
        <w:rPr>
          <w:rFonts w:cs="Arial"/>
          <w:szCs w:val="24"/>
        </w:rPr>
        <w:t xml:space="preserve">  Figure 8</w:t>
      </w:r>
      <w:r w:rsidR="00DC3E65">
        <w:rPr>
          <w:rFonts w:cs="Arial"/>
          <w:szCs w:val="24"/>
        </w:rPr>
        <w:t xml:space="preserve"> illustrates how </w:t>
      </w:r>
      <w:r w:rsidR="00E3016F">
        <w:rPr>
          <w:rFonts w:cs="Arial"/>
          <w:szCs w:val="24"/>
        </w:rPr>
        <w:t>Harrow</w:t>
      </w:r>
      <w:r w:rsidR="00DC3E65">
        <w:rPr>
          <w:rFonts w:cs="Arial"/>
          <w:szCs w:val="24"/>
        </w:rPr>
        <w:t xml:space="preserve"> has been doing compared to its </w:t>
      </w:r>
      <w:r w:rsidR="00AE00CD">
        <w:rPr>
          <w:rFonts w:cs="Arial"/>
          <w:szCs w:val="24"/>
        </w:rPr>
        <w:t>geographical neighbours up to Q1 2018/19</w:t>
      </w:r>
      <w:r w:rsidR="00DC3E65">
        <w:rPr>
          <w:rFonts w:cs="Arial"/>
          <w:szCs w:val="24"/>
        </w:rPr>
        <w:t xml:space="preserve">. </w:t>
      </w:r>
    </w:p>
    <w:p w:rsidR="00A43107" w:rsidRPr="00B667FD" w:rsidRDefault="00A43107" w:rsidP="00A43107">
      <w:pPr>
        <w:pStyle w:val="ListParagraph"/>
        <w:jc w:val="center"/>
        <w:rPr>
          <w:rFonts w:cs="Arial"/>
          <w:i/>
          <w:szCs w:val="24"/>
        </w:rPr>
      </w:pPr>
      <w:r>
        <w:rPr>
          <w:rFonts w:cs="Arial"/>
          <w:i/>
          <w:szCs w:val="24"/>
        </w:rPr>
        <w:lastRenderedPageBreak/>
        <w:t xml:space="preserve">Figure </w:t>
      </w:r>
      <w:r w:rsidR="00C85184">
        <w:rPr>
          <w:rFonts w:cs="Arial"/>
          <w:i/>
          <w:szCs w:val="24"/>
        </w:rPr>
        <w:t>7</w:t>
      </w:r>
    </w:p>
    <w:p w:rsidR="00A43107" w:rsidRPr="007F4FBF" w:rsidRDefault="00A43107" w:rsidP="00A43107">
      <w:pPr>
        <w:pStyle w:val="ListParagraph"/>
        <w:jc w:val="center"/>
        <w:rPr>
          <w:rFonts w:cs="Arial"/>
          <w:i/>
          <w:szCs w:val="24"/>
        </w:rPr>
      </w:pPr>
      <w:r w:rsidRPr="007F4FBF">
        <w:rPr>
          <w:rFonts w:cs="Arial"/>
          <w:i/>
          <w:szCs w:val="24"/>
        </w:rPr>
        <w:t>Coverage of Rotavirus</w:t>
      </w:r>
      <w:r w:rsidR="007F4FBF" w:rsidRPr="007F4FBF">
        <w:rPr>
          <w:rFonts w:cs="Arial"/>
          <w:i/>
          <w:szCs w:val="24"/>
        </w:rPr>
        <w:t xml:space="preserve"> at 12 months</w:t>
      </w:r>
      <w:r w:rsidRPr="007F4FBF">
        <w:rPr>
          <w:rFonts w:cs="Arial"/>
          <w:i/>
          <w:szCs w:val="24"/>
        </w:rPr>
        <w:t xml:space="preserve"> in </w:t>
      </w:r>
      <w:r w:rsidR="00E3016F" w:rsidRPr="007F4FBF">
        <w:rPr>
          <w:rFonts w:cs="Arial"/>
          <w:i/>
          <w:szCs w:val="24"/>
        </w:rPr>
        <w:t>Harrow</w:t>
      </w:r>
      <w:r w:rsidRPr="007F4FBF">
        <w:rPr>
          <w:rFonts w:cs="Arial"/>
          <w:i/>
          <w:szCs w:val="24"/>
        </w:rPr>
        <w:t xml:space="preserve"> compared to</w:t>
      </w:r>
      <w:r w:rsidR="007F4FBF" w:rsidRPr="007F4FBF">
        <w:rPr>
          <w:rFonts w:cs="Arial"/>
          <w:i/>
          <w:szCs w:val="24"/>
        </w:rPr>
        <w:t xml:space="preserve"> London and</w:t>
      </w:r>
      <w:r w:rsidRPr="007F4FBF">
        <w:rPr>
          <w:rFonts w:cs="Arial"/>
          <w:i/>
          <w:szCs w:val="24"/>
        </w:rPr>
        <w:t xml:space="preserve"> England Averages</w:t>
      </w:r>
    </w:p>
    <w:p w:rsidR="00BE6EFA" w:rsidRDefault="00BE6EFA" w:rsidP="00A43107">
      <w:pPr>
        <w:pStyle w:val="ListParagraph"/>
        <w:jc w:val="center"/>
        <w:rPr>
          <w:rFonts w:cs="Arial"/>
          <w:i/>
          <w:szCs w:val="24"/>
        </w:rPr>
      </w:pPr>
    </w:p>
    <w:p w:rsidR="00BE6EFA" w:rsidRDefault="007F4FBF" w:rsidP="00A43107">
      <w:pPr>
        <w:pStyle w:val="ListParagraph"/>
        <w:jc w:val="center"/>
        <w:rPr>
          <w:rFonts w:cs="Arial"/>
          <w:i/>
          <w:szCs w:val="24"/>
        </w:rPr>
      </w:pPr>
      <w:r>
        <w:rPr>
          <w:noProof/>
          <w:lang w:eastAsia="en-GB"/>
        </w:rPr>
        <w:drawing>
          <wp:inline distT="0" distB="0" distL="0" distR="0" wp14:anchorId="3E1FFEE3" wp14:editId="545EFC8C">
            <wp:extent cx="4853940" cy="2628900"/>
            <wp:effectExtent l="0" t="0" r="3810" b="0"/>
            <wp:docPr id="13" name="Chart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763AC" w:rsidRPr="007F4FBF" w:rsidRDefault="001763AC" w:rsidP="007F4FBF">
      <w:pPr>
        <w:rPr>
          <w:rFonts w:cs="Arial"/>
          <w:i/>
          <w:szCs w:val="24"/>
        </w:rPr>
      </w:pPr>
    </w:p>
    <w:p w:rsidR="00335ED1" w:rsidRPr="00335ED1" w:rsidRDefault="00F5242E" w:rsidP="00335ED1">
      <w:pPr>
        <w:pStyle w:val="ListParagraph"/>
        <w:jc w:val="right"/>
        <w:rPr>
          <w:rFonts w:cs="Arial"/>
          <w:i/>
          <w:sz w:val="20"/>
          <w:szCs w:val="20"/>
        </w:rPr>
      </w:pPr>
      <w:r w:rsidRPr="00335ED1">
        <w:rPr>
          <w:rFonts w:cs="Arial"/>
          <w:i/>
          <w:sz w:val="20"/>
          <w:szCs w:val="20"/>
        </w:rPr>
        <w:t>*</w:t>
      </w:r>
      <w:r w:rsidR="00335ED1" w:rsidRPr="00335ED1">
        <w:rPr>
          <w:rFonts w:cs="Arial"/>
          <w:i/>
          <w:sz w:val="20"/>
          <w:szCs w:val="20"/>
        </w:rPr>
        <w:t>please note that the vaccine reporting was only introduced in 2015/16</w:t>
      </w:r>
    </w:p>
    <w:p w:rsidR="001763AC" w:rsidRPr="001763AC" w:rsidRDefault="00335ED1" w:rsidP="00335ED1">
      <w:pPr>
        <w:pStyle w:val="ListParagraph"/>
        <w:jc w:val="right"/>
        <w:rPr>
          <w:rFonts w:cs="Arial"/>
          <w:i/>
          <w:szCs w:val="24"/>
        </w:rPr>
      </w:pPr>
      <w:r>
        <w:rPr>
          <w:rFonts w:cs="Arial"/>
          <w:i/>
          <w:szCs w:val="24"/>
        </w:rPr>
        <w:t xml:space="preserve"> </w:t>
      </w:r>
    </w:p>
    <w:p w:rsidR="0034545E" w:rsidRDefault="00A43107" w:rsidP="00A43107">
      <w:pPr>
        <w:pStyle w:val="ListParagraph"/>
        <w:jc w:val="right"/>
        <w:rPr>
          <w:rFonts w:cs="Arial"/>
          <w:i/>
          <w:szCs w:val="24"/>
        </w:rPr>
      </w:pPr>
      <w:r>
        <w:rPr>
          <w:rFonts w:cs="Arial"/>
          <w:i/>
          <w:szCs w:val="24"/>
        </w:rPr>
        <w:t>Source: PHE (2018)</w:t>
      </w:r>
    </w:p>
    <w:p w:rsidR="001763AC" w:rsidRDefault="001763AC" w:rsidP="0034545E">
      <w:pPr>
        <w:pStyle w:val="ListParagraph"/>
        <w:jc w:val="both"/>
        <w:rPr>
          <w:rFonts w:cs="Arial"/>
          <w:i/>
          <w:szCs w:val="24"/>
        </w:rPr>
      </w:pPr>
    </w:p>
    <w:p w:rsidR="00B667FD" w:rsidRDefault="00620D56" w:rsidP="00B667FD">
      <w:pPr>
        <w:pStyle w:val="ListParagraph"/>
        <w:jc w:val="center"/>
        <w:rPr>
          <w:rFonts w:cs="Arial"/>
          <w:i/>
          <w:szCs w:val="24"/>
        </w:rPr>
      </w:pPr>
      <w:r>
        <w:rPr>
          <w:rFonts w:cs="Arial"/>
          <w:i/>
          <w:szCs w:val="24"/>
        </w:rPr>
        <w:t xml:space="preserve">Figure </w:t>
      </w:r>
      <w:r w:rsidR="00C85184">
        <w:rPr>
          <w:rFonts w:cs="Arial"/>
          <w:i/>
          <w:szCs w:val="24"/>
        </w:rPr>
        <w:t>8</w:t>
      </w:r>
    </w:p>
    <w:p w:rsidR="001E005E" w:rsidRDefault="001E005E" w:rsidP="00B667FD">
      <w:pPr>
        <w:pStyle w:val="ListParagraph"/>
        <w:jc w:val="center"/>
        <w:rPr>
          <w:rFonts w:cs="Arial"/>
          <w:i/>
          <w:szCs w:val="24"/>
        </w:rPr>
      </w:pPr>
      <w:r w:rsidRPr="00B667FD">
        <w:rPr>
          <w:rFonts w:cs="Arial"/>
          <w:i/>
          <w:szCs w:val="24"/>
        </w:rPr>
        <w:t xml:space="preserve">Uptake of </w:t>
      </w:r>
      <w:r>
        <w:rPr>
          <w:rFonts w:cs="Arial"/>
          <w:i/>
          <w:szCs w:val="24"/>
        </w:rPr>
        <w:t>Rotavirus at 12months in</w:t>
      </w:r>
      <w:r w:rsidRPr="00B667FD">
        <w:rPr>
          <w:rFonts w:cs="Arial"/>
          <w:i/>
          <w:szCs w:val="24"/>
        </w:rPr>
        <w:t xml:space="preserve"> NWL</w:t>
      </w:r>
    </w:p>
    <w:p w:rsidR="001E005E" w:rsidRDefault="001E005E" w:rsidP="00B667FD">
      <w:pPr>
        <w:pStyle w:val="ListParagraph"/>
        <w:jc w:val="center"/>
        <w:rPr>
          <w:rFonts w:cs="Arial"/>
          <w:i/>
          <w:szCs w:val="24"/>
        </w:rPr>
      </w:pPr>
    </w:p>
    <w:tbl>
      <w:tblPr>
        <w:tblW w:w="7920" w:type="dxa"/>
        <w:jc w:val="center"/>
        <w:tblLook w:val="04A0" w:firstRow="1" w:lastRow="0" w:firstColumn="1" w:lastColumn="0" w:noHBand="0" w:noVBand="1"/>
      </w:tblPr>
      <w:tblGrid>
        <w:gridCol w:w="3596"/>
        <w:gridCol w:w="1336"/>
        <w:gridCol w:w="996"/>
        <w:gridCol w:w="996"/>
        <w:gridCol w:w="996"/>
      </w:tblGrid>
      <w:tr w:rsidR="001E005E" w:rsidRPr="001E005E" w:rsidTr="007B756E">
        <w:trPr>
          <w:trHeight w:val="300"/>
          <w:jc w:val="center"/>
        </w:trPr>
        <w:tc>
          <w:tcPr>
            <w:tcW w:w="3596" w:type="dxa"/>
            <w:tcBorders>
              <w:top w:val="nil"/>
              <w:left w:val="nil"/>
              <w:bottom w:val="nil"/>
              <w:right w:val="nil"/>
            </w:tcBorders>
            <w:shd w:val="clear" w:color="auto" w:fill="auto"/>
            <w:noWrap/>
            <w:vAlign w:val="bottom"/>
            <w:hideMark/>
          </w:tcPr>
          <w:p w:rsidR="001E005E" w:rsidRPr="001E005E" w:rsidRDefault="001E005E" w:rsidP="001E005E">
            <w:pPr>
              <w:rPr>
                <w:rFonts w:ascii="Calibri" w:hAnsi="Calibri"/>
                <w:bCs w:val="0"/>
                <w:color w:val="000000"/>
                <w:sz w:val="22"/>
                <w:szCs w:val="22"/>
                <w:lang w:eastAsia="en-GB"/>
              </w:rPr>
            </w:pPr>
          </w:p>
        </w:tc>
        <w:tc>
          <w:tcPr>
            <w:tcW w:w="1336" w:type="dxa"/>
            <w:tcBorders>
              <w:top w:val="nil"/>
              <w:left w:val="nil"/>
              <w:bottom w:val="single" w:sz="4" w:space="0" w:color="auto"/>
              <w:right w:val="nil"/>
            </w:tcBorders>
            <w:shd w:val="clear" w:color="auto" w:fill="auto"/>
            <w:noWrap/>
            <w:vAlign w:val="bottom"/>
            <w:hideMark/>
          </w:tcPr>
          <w:p w:rsidR="001E005E" w:rsidRPr="001E005E" w:rsidRDefault="001E005E" w:rsidP="001E005E">
            <w:pPr>
              <w:jc w:val="center"/>
              <w:rPr>
                <w:rFonts w:ascii="Calibri" w:hAnsi="Calibri"/>
                <w:b/>
                <w:color w:val="000000"/>
                <w:sz w:val="20"/>
                <w:szCs w:val="20"/>
                <w:lang w:eastAsia="en-GB"/>
              </w:rPr>
            </w:pPr>
            <w:r w:rsidRPr="001E005E">
              <w:rPr>
                <w:rFonts w:ascii="Calibri" w:hAnsi="Calibri"/>
                <w:b/>
                <w:color w:val="000000"/>
                <w:sz w:val="20"/>
                <w:szCs w:val="20"/>
                <w:lang w:eastAsia="en-GB"/>
              </w:rPr>
              <w:t>Q2 1718</w:t>
            </w:r>
          </w:p>
        </w:tc>
        <w:tc>
          <w:tcPr>
            <w:tcW w:w="996" w:type="dxa"/>
            <w:tcBorders>
              <w:top w:val="nil"/>
              <w:left w:val="nil"/>
              <w:bottom w:val="single" w:sz="4" w:space="0" w:color="auto"/>
              <w:right w:val="nil"/>
            </w:tcBorders>
            <w:shd w:val="clear" w:color="auto" w:fill="auto"/>
            <w:noWrap/>
            <w:vAlign w:val="bottom"/>
            <w:hideMark/>
          </w:tcPr>
          <w:p w:rsidR="001E005E" w:rsidRPr="001E005E" w:rsidRDefault="001E005E" w:rsidP="001E005E">
            <w:pPr>
              <w:jc w:val="center"/>
              <w:rPr>
                <w:rFonts w:ascii="Calibri" w:hAnsi="Calibri"/>
                <w:b/>
                <w:color w:val="000000"/>
                <w:sz w:val="20"/>
                <w:szCs w:val="20"/>
                <w:lang w:eastAsia="en-GB"/>
              </w:rPr>
            </w:pPr>
            <w:r w:rsidRPr="001E005E">
              <w:rPr>
                <w:rFonts w:ascii="Calibri" w:hAnsi="Calibri"/>
                <w:b/>
                <w:color w:val="000000"/>
                <w:sz w:val="20"/>
                <w:szCs w:val="20"/>
                <w:lang w:eastAsia="en-GB"/>
              </w:rPr>
              <w:t>Q3 1718</w:t>
            </w:r>
          </w:p>
        </w:tc>
        <w:tc>
          <w:tcPr>
            <w:tcW w:w="996" w:type="dxa"/>
            <w:tcBorders>
              <w:top w:val="nil"/>
              <w:left w:val="nil"/>
              <w:bottom w:val="single" w:sz="4" w:space="0" w:color="auto"/>
              <w:right w:val="nil"/>
            </w:tcBorders>
            <w:shd w:val="clear" w:color="auto" w:fill="auto"/>
            <w:noWrap/>
            <w:vAlign w:val="bottom"/>
            <w:hideMark/>
          </w:tcPr>
          <w:p w:rsidR="001E005E" w:rsidRPr="001E005E" w:rsidRDefault="001E005E" w:rsidP="001E005E">
            <w:pPr>
              <w:jc w:val="center"/>
              <w:rPr>
                <w:rFonts w:ascii="Calibri" w:hAnsi="Calibri"/>
                <w:b/>
                <w:color w:val="000000"/>
                <w:sz w:val="20"/>
                <w:szCs w:val="20"/>
                <w:lang w:eastAsia="en-GB"/>
              </w:rPr>
            </w:pPr>
            <w:r w:rsidRPr="001E005E">
              <w:rPr>
                <w:rFonts w:ascii="Calibri" w:hAnsi="Calibri"/>
                <w:b/>
                <w:color w:val="000000"/>
                <w:sz w:val="20"/>
                <w:szCs w:val="20"/>
                <w:lang w:eastAsia="en-GB"/>
              </w:rPr>
              <w:t>Q4 1718</w:t>
            </w:r>
          </w:p>
        </w:tc>
        <w:tc>
          <w:tcPr>
            <w:tcW w:w="996" w:type="dxa"/>
            <w:tcBorders>
              <w:top w:val="nil"/>
              <w:left w:val="nil"/>
              <w:bottom w:val="single" w:sz="4" w:space="0" w:color="auto"/>
              <w:right w:val="nil"/>
            </w:tcBorders>
            <w:shd w:val="clear" w:color="auto" w:fill="auto"/>
            <w:noWrap/>
            <w:vAlign w:val="bottom"/>
            <w:hideMark/>
          </w:tcPr>
          <w:p w:rsidR="001E005E" w:rsidRPr="001E005E" w:rsidRDefault="001E005E" w:rsidP="001E005E">
            <w:pPr>
              <w:jc w:val="center"/>
              <w:rPr>
                <w:rFonts w:ascii="Calibri" w:hAnsi="Calibri"/>
                <w:b/>
                <w:color w:val="000000"/>
                <w:sz w:val="20"/>
                <w:szCs w:val="20"/>
                <w:lang w:eastAsia="en-GB"/>
              </w:rPr>
            </w:pPr>
            <w:r w:rsidRPr="001E005E">
              <w:rPr>
                <w:rFonts w:ascii="Calibri" w:hAnsi="Calibri"/>
                <w:b/>
                <w:color w:val="000000"/>
                <w:sz w:val="20"/>
                <w:szCs w:val="20"/>
                <w:lang w:eastAsia="en-GB"/>
              </w:rPr>
              <w:t>Q1 1819</w:t>
            </w:r>
          </w:p>
        </w:tc>
      </w:tr>
      <w:tr w:rsidR="001E005E" w:rsidRPr="001E005E" w:rsidTr="007B756E">
        <w:trPr>
          <w:trHeight w:val="300"/>
          <w:jc w:val="center"/>
        </w:trPr>
        <w:tc>
          <w:tcPr>
            <w:tcW w:w="3596" w:type="dxa"/>
            <w:tcBorders>
              <w:top w:val="single" w:sz="4" w:space="0" w:color="auto"/>
              <w:left w:val="nil"/>
              <w:bottom w:val="single" w:sz="4" w:space="0" w:color="auto"/>
              <w:right w:val="nil"/>
            </w:tcBorders>
            <w:shd w:val="clear" w:color="000000" w:fill="92CDDC"/>
            <w:noWrap/>
            <w:vAlign w:val="bottom"/>
            <w:hideMark/>
          </w:tcPr>
          <w:p w:rsidR="001E005E" w:rsidRPr="001E005E" w:rsidRDefault="001E005E" w:rsidP="001E005E">
            <w:pPr>
              <w:rPr>
                <w:rFonts w:ascii="Calibri" w:hAnsi="Calibri"/>
                <w:b/>
                <w:color w:val="000000"/>
                <w:sz w:val="20"/>
                <w:szCs w:val="20"/>
                <w:lang w:eastAsia="en-GB"/>
              </w:rPr>
            </w:pPr>
            <w:r w:rsidRPr="001E005E">
              <w:rPr>
                <w:rFonts w:ascii="Calibri" w:hAnsi="Calibri"/>
                <w:b/>
                <w:color w:val="000000"/>
                <w:sz w:val="20"/>
                <w:szCs w:val="20"/>
                <w:lang w:eastAsia="en-GB"/>
              </w:rPr>
              <w:t>ENGLAND</w:t>
            </w:r>
          </w:p>
        </w:tc>
        <w:tc>
          <w:tcPr>
            <w:tcW w:w="1336" w:type="dxa"/>
            <w:tcBorders>
              <w:top w:val="nil"/>
              <w:left w:val="nil"/>
              <w:bottom w:val="single" w:sz="4" w:space="0" w:color="auto"/>
              <w:right w:val="nil"/>
            </w:tcBorders>
            <w:shd w:val="clear" w:color="000000" w:fill="92CDDC"/>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89.9%</w:t>
            </w:r>
          </w:p>
        </w:tc>
        <w:tc>
          <w:tcPr>
            <w:tcW w:w="996" w:type="dxa"/>
            <w:tcBorders>
              <w:top w:val="nil"/>
              <w:left w:val="nil"/>
              <w:bottom w:val="single" w:sz="4" w:space="0" w:color="auto"/>
              <w:right w:val="nil"/>
            </w:tcBorders>
            <w:shd w:val="clear" w:color="000000" w:fill="92CDDC"/>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90.6%</w:t>
            </w:r>
          </w:p>
        </w:tc>
        <w:tc>
          <w:tcPr>
            <w:tcW w:w="996" w:type="dxa"/>
            <w:tcBorders>
              <w:top w:val="nil"/>
              <w:left w:val="nil"/>
              <w:bottom w:val="single" w:sz="4" w:space="0" w:color="auto"/>
              <w:right w:val="nil"/>
            </w:tcBorders>
            <w:shd w:val="clear" w:color="000000" w:fill="92CDDC"/>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90.3%</w:t>
            </w:r>
          </w:p>
        </w:tc>
        <w:tc>
          <w:tcPr>
            <w:tcW w:w="996" w:type="dxa"/>
            <w:tcBorders>
              <w:top w:val="nil"/>
              <w:left w:val="nil"/>
              <w:bottom w:val="single" w:sz="4" w:space="0" w:color="auto"/>
              <w:right w:val="nil"/>
            </w:tcBorders>
            <w:shd w:val="clear" w:color="000000" w:fill="92CDDC"/>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0.0%</w:t>
            </w:r>
          </w:p>
        </w:tc>
      </w:tr>
      <w:tr w:rsidR="001E005E" w:rsidRPr="001E005E" w:rsidTr="007B756E">
        <w:trPr>
          <w:trHeight w:val="300"/>
          <w:jc w:val="center"/>
        </w:trPr>
        <w:tc>
          <w:tcPr>
            <w:tcW w:w="3596" w:type="dxa"/>
            <w:tcBorders>
              <w:top w:val="nil"/>
              <w:left w:val="nil"/>
              <w:bottom w:val="single" w:sz="4" w:space="0" w:color="auto"/>
              <w:right w:val="nil"/>
            </w:tcBorders>
            <w:shd w:val="clear" w:color="000000" w:fill="DAEEF3"/>
            <w:noWrap/>
            <w:vAlign w:val="bottom"/>
            <w:hideMark/>
          </w:tcPr>
          <w:p w:rsidR="001E005E" w:rsidRPr="001E005E" w:rsidRDefault="001E005E" w:rsidP="001E005E">
            <w:pPr>
              <w:rPr>
                <w:rFonts w:ascii="Calibri" w:hAnsi="Calibri"/>
                <w:b/>
                <w:color w:val="000000"/>
                <w:sz w:val="20"/>
                <w:szCs w:val="20"/>
                <w:lang w:eastAsia="en-GB"/>
              </w:rPr>
            </w:pPr>
            <w:r w:rsidRPr="001E005E">
              <w:rPr>
                <w:rFonts w:ascii="Calibri" w:hAnsi="Calibri"/>
                <w:b/>
                <w:color w:val="000000"/>
                <w:sz w:val="20"/>
                <w:szCs w:val="20"/>
                <w:lang w:eastAsia="en-GB"/>
              </w:rPr>
              <w:t>London</w:t>
            </w:r>
          </w:p>
        </w:tc>
        <w:tc>
          <w:tcPr>
            <w:tcW w:w="1336" w:type="dxa"/>
            <w:tcBorders>
              <w:top w:val="nil"/>
              <w:left w:val="nil"/>
              <w:bottom w:val="single" w:sz="4" w:space="0" w:color="auto"/>
              <w:right w:val="nil"/>
            </w:tcBorders>
            <w:shd w:val="clear" w:color="000000" w:fill="DAEEF3"/>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86.9%</w:t>
            </w:r>
          </w:p>
        </w:tc>
        <w:tc>
          <w:tcPr>
            <w:tcW w:w="996" w:type="dxa"/>
            <w:tcBorders>
              <w:top w:val="nil"/>
              <w:left w:val="nil"/>
              <w:bottom w:val="single" w:sz="4" w:space="0" w:color="auto"/>
              <w:right w:val="nil"/>
            </w:tcBorders>
            <w:shd w:val="clear" w:color="000000" w:fill="DAEEF3"/>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87.2%</w:t>
            </w:r>
          </w:p>
        </w:tc>
        <w:tc>
          <w:tcPr>
            <w:tcW w:w="996" w:type="dxa"/>
            <w:tcBorders>
              <w:top w:val="nil"/>
              <w:left w:val="nil"/>
              <w:bottom w:val="single" w:sz="4" w:space="0" w:color="auto"/>
              <w:right w:val="nil"/>
            </w:tcBorders>
            <w:shd w:val="clear" w:color="000000" w:fill="DAEEF3"/>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87.2%</w:t>
            </w:r>
          </w:p>
        </w:tc>
        <w:tc>
          <w:tcPr>
            <w:tcW w:w="996" w:type="dxa"/>
            <w:tcBorders>
              <w:top w:val="nil"/>
              <w:left w:val="nil"/>
              <w:bottom w:val="single" w:sz="4" w:space="0" w:color="auto"/>
              <w:right w:val="nil"/>
            </w:tcBorders>
            <w:shd w:val="clear" w:color="000000" w:fill="DAEEF3"/>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84.7%</w:t>
            </w:r>
          </w:p>
        </w:tc>
      </w:tr>
      <w:tr w:rsidR="001E005E" w:rsidRPr="001E005E" w:rsidTr="007B756E">
        <w:trPr>
          <w:trHeight w:val="300"/>
          <w:jc w:val="center"/>
        </w:trPr>
        <w:tc>
          <w:tcPr>
            <w:tcW w:w="3596" w:type="dxa"/>
            <w:tcBorders>
              <w:top w:val="nil"/>
              <w:left w:val="nil"/>
              <w:bottom w:val="single" w:sz="4" w:space="0" w:color="auto"/>
              <w:right w:val="nil"/>
            </w:tcBorders>
            <w:shd w:val="clear" w:color="000000" w:fill="DAEEF3"/>
            <w:noWrap/>
            <w:vAlign w:val="bottom"/>
            <w:hideMark/>
          </w:tcPr>
          <w:p w:rsidR="001E005E" w:rsidRPr="001E005E" w:rsidRDefault="001E005E" w:rsidP="001E005E">
            <w:pPr>
              <w:rPr>
                <w:rFonts w:ascii="Calibri" w:hAnsi="Calibri"/>
                <w:b/>
                <w:color w:val="000000"/>
                <w:sz w:val="20"/>
                <w:szCs w:val="20"/>
                <w:lang w:eastAsia="en-GB"/>
              </w:rPr>
            </w:pPr>
            <w:r w:rsidRPr="001E005E">
              <w:rPr>
                <w:rFonts w:ascii="Calibri" w:hAnsi="Calibri"/>
                <w:b/>
                <w:color w:val="000000"/>
                <w:sz w:val="20"/>
                <w:szCs w:val="20"/>
                <w:lang w:eastAsia="en-GB"/>
              </w:rPr>
              <w:t>LA with highest uptake - London</w:t>
            </w:r>
          </w:p>
        </w:tc>
        <w:tc>
          <w:tcPr>
            <w:tcW w:w="1336" w:type="dxa"/>
            <w:tcBorders>
              <w:top w:val="nil"/>
              <w:left w:val="nil"/>
              <w:bottom w:val="single" w:sz="4" w:space="0" w:color="auto"/>
              <w:right w:val="nil"/>
            </w:tcBorders>
            <w:shd w:val="clear" w:color="000000" w:fill="DAEEF3"/>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92.7%</w:t>
            </w:r>
          </w:p>
        </w:tc>
        <w:tc>
          <w:tcPr>
            <w:tcW w:w="996" w:type="dxa"/>
            <w:tcBorders>
              <w:top w:val="nil"/>
              <w:left w:val="nil"/>
              <w:bottom w:val="single" w:sz="4" w:space="0" w:color="auto"/>
              <w:right w:val="nil"/>
            </w:tcBorders>
            <w:shd w:val="clear" w:color="000000" w:fill="DAEEF3"/>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93.8%</w:t>
            </w:r>
          </w:p>
        </w:tc>
        <w:tc>
          <w:tcPr>
            <w:tcW w:w="996" w:type="dxa"/>
            <w:tcBorders>
              <w:top w:val="nil"/>
              <w:left w:val="nil"/>
              <w:bottom w:val="single" w:sz="4" w:space="0" w:color="auto"/>
              <w:right w:val="nil"/>
            </w:tcBorders>
            <w:shd w:val="clear" w:color="000000" w:fill="DAEEF3"/>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92.5%</w:t>
            </w:r>
          </w:p>
        </w:tc>
        <w:tc>
          <w:tcPr>
            <w:tcW w:w="996" w:type="dxa"/>
            <w:tcBorders>
              <w:top w:val="nil"/>
              <w:left w:val="nil"/>
              <w:bottom w:val="single" w:sz="4" w:space="0" w:color="auto"/>
              <w:right w:val="nil"/>
            </w:tcBorders>
            <w:shd w:val="clear" w:color="000000" w:fill="DAEEF3"/>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91.7%</w:t>
            </w:r>
          </w:p>
        </w:tc>
      </w:tr>
      <w:tr w:rsidR="001E005E" w:rsidRPr="001E005E" w:rsidTr="007B756E">
        <w:trPr>
          <w:trHeight w:val="525"/>
          <w:jc w:val="center"/>
        </w:trPr>
        <w:tc>
          <w:tcPr>
            <w:tcW w:w="3596" w:type="dxa"/>
            <w:tcBorders>
              <w:top w:val="nil"/>
              <w:left w:val="nil"/>
              <w:bottom w:val="nil"/>
              <w:right w:val="nil"/>
            </w:tcBorders>
            <w:shd w:val="clear" w:color="000000" w:fill="F2F2F2"/>
            <w:vAlign w:val="bottom"/>
            <w:hideMark/>
          </w:tcPr>
          <w:p w:rsidR="001E005E" w:rsidRPr="001E005E" w:rsidRDefault="001E005E" w:rsidP="001E005E">
            <w:pPr>
              <w:rPr>
                <w:rFonts w:ascii="Calibri" w:hAnsi="Calibri"/>
                <w:b/>
                <w:color w:val="000000"/>
                <w:sz w:val="20"/>
                <w:szCs w:val="20"/>
                <w:lang w:eastAsia="en-GB"/>
              </w:rPr>
            </w:pPr>
            <w:r w:rsidRPr="001E005E">
              <w:rPr>
                <w:rFonts w:ascii="Calibri" w:hAnsi="Calibri"/>
                <w:b/>
                <w:color w:val="000000"/>
                <w:sz w:val="20"/>
                <w:szCs w:val="20"/>
                <w:lang w:eastAsia="en-GB"/>
              </w:rPr>
              <w:t>North West London STP</w:t>
            </w:r>
          </w:p>
        </w:tc>
        <w:tc>
          <w:tcPr>
            <w:tcW w:w="133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86.9%</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87.2%</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86.1%</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85.7%</w:t>
            </w:r>
          </w:p>
        </w:tc>
      </w:tr>
      <w:tr w:rsidR="001E005E" w:rsidRPr="001E005E" w:rsidTr="007B756E">
        <w:trPr>
          <w:trHeight w:val="300"/>
          <w:jc w:val="center"/>
        </w:trPr>
        <w:tc>
          <w:tcPr>
            <w:tcW w:w="3596" w:type="dxa"/>
            <w:tcBorders>
              <w:top w:val="nil"/>
              <w:left w:val="nil"/>
              <w:bottom w:val="nil"/>
              <w:right w:val="nil"/>
            </w:tcBorders>
            <w:shd w:val="clear" w:color="auto" w:fill="auto"/>
            <w:noWrap/>
            <w:vAlign w:val="bottom"/>
            <w:hideMark/>
          </w:tcPr>
          <w:p w:rsidR="001E005E" w:rsidRPr="001E005E" w:rsidRDefault="001E005E" w:rsidP="001E005E">
            <w:pPr>
              <w:ind w:firstLineChars="200" w:firstLine="400"/>
              <w:rPr>
                <w:rFonts w:ascii="Calibri" w:hAnsi="Calibri"/>
                <w:bCs w:val="0"/>
                <w:color w:val="000000"/>
                <w:sz w:val="20"/>
                <w:szCs w:val="20"/>
                <w:lang w:eastAsia="en-GB"/>
              </w:rPr>
            </w:pPr>
            <w:r w:rsidRPr="001E005E">
              <w:rPr>
                <w:rFonts w:ascii="Calibri" w:hAnsi="Calibri"/>
                <w:bCs w:val="0"/>
                <w:color w:val="000000"/>
                <w:sz w:val="20"/>
                <w:szCs w:val="20"/>
                <w:lang w:eastAsia="en-GB"/>
              </w:rPr>
              <w:t>Brent</w:t>
            </w:r>
          </w:p>
        </w:tc>
        <w:tc>
          <w:tcPr>
            <w:tcW w:w="133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86.8%</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86.5%</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86.8%</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86.7%</w:t>
            </w:r>
          </w:p>
        </w:tc>
      </w:tr>
      <w:tr w:rsidR="001E005E" w:rsidRPr="001E005E" w:rsidTr="007B756E">
        <w:trPr>
          <w:trHeight w:val="300"/>
          <w:jc w:val="center"/>
        </w:trPr>
        <w:tc>
          <w:tcPr>
            <w:tcW w:w="3596" w:type="dxa"/>
            <w:tcBorders>
              <w:top w:val="nil"/>
              <w:left w:val="nil"/>
              <w:bottom w:val="nil"/>
              <w:right w:val="nil"/>
            </w:tcBorders>
            <w:shd w:val="clear" w:color="auto" w:fill="auto"/>
            <w:noWrap/>
            <w:vAlign w:val="bottom"/>
            <w:hideMark/>
          </w:tcPr>
          <w:p w:rsidR="001E005E" w:rsidRPr="001E005E" w:rsidRDefault="005C5EAF" w:rsidP="001E005E">
            <w:pPr>
              <w:ind w:firstLineChars="200" w:firstLine="400"/>
              <w:rPr>
                <w:rFonts w:ascii="Calibri" w:hAnsi="Calibri"/>
                <w:bCs w:val="0"/>
                <w:color w:val="000000"/>
                <w:sz w:val="20"/>
                <w:szCs w:val="20"/>
                <w:lang w:eastAsia="en-GB"/>
              </w:rPr>
            </w:pPr>
            <w:r>
              <w:rPr>
                <w:rFonts w:ascii="Calibri" w:hAnsi="Calibri"/>
                <w:bCs w:val="0"/>
                <w:color w:val="000000"/>
                <w:sz w:val="20"/>
                <w:szCs w:val="20"/>
                <w:lang w:eastAsia="en-GB"/>
              </w:rPr>
              <w:t>Ealing</w:t>
            </w:r>
          </w:p>
        </w:tc>
        <w:tc>
          <w:tcPr>
            <w:tcW w:w="133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88.1%</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89.7%</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87.9%</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87.2%</w:t>
            </w:r>
          </w:p>
        </w:tc>
      </w:tr>
      <w:tr w:rsidR="001E005E" w:rsidRPr="001E005E" w:rsidTr="007B756E">
        <w:trPr>
          <w:trHeight w:val="300"/>
          <w:jc w:val="center"/>
        </w:trPr>
        <w:tc>
          <w:tcPr>
            <w:tcW w:w="3596" w:type="dxa"/>
            <w:tcBorders>
              <w:top w:val="nil"/>
              <w:left w:val="nil"/>
              <w:bottom w:val="nil"/>
              <w:right w:val="nil"/>
            </w:tcBorders>
            <w:shd w:val="clear" w:color="auto" w:fill="auto"/>
            <w:noWrap/>
            <w:vAlign w:val="bottom"/>
            <w:hideMark/>
          </w:tcPr>
          <w:p w:rsidR="001E005E" w:rsidRPr="001E005E" w:rsidRDefault="001E005E" w:rsidP="001E005E">
            <w:pPr>
              <w:ind w:firstLineChars="200" w:firstLine="400"/>
              <w:rPr>
                <w:rFonts w:ascii="Calibri" w:hAnsi="Calibri"/>
                <w:bCs w:val="0"/>
                <w:color w:val="000000"/>
                <w:sz w:val="20"/>
                <w:szCs w:val="20"/>
                <w:lang w:eastAsia="en-GB"/>
              </w:rPr>
            </w:pPr>
            <w:r w:rsidRPr="001E005E">
              <w:rPr>
                <w:rFonts w:ascii="Calibri" w:hAnsi="Calibri"/>
                <w:bCs w:val="0"/>
                <w:color w:val="000000"/>
                <w:sz w:val="20"/>
                <w:szCs w:val="20"/>
                <w:lang w:eastAsia="en-GB"/>
              </w:rPr>
              <w:t>Hammersmith and Fulham</w:t>
            </w:r>
          </w:p>
        </w:tc>
        <w:tc>
          <w:tcPr>
            <w:tcW w:w="133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88.0%</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88.3%</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87.1%</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85.4%</w:t>
            </w:r>
          </w:p>
        </w:tc>
      </w:tr>
      <w:tr w:rsidR="001E005E" w:rsidRPr="001E005E" w:rsidTr="007B756E">
        <w:trPr>
          <w:trHeight w:val="300"/>
          <w:jc w:val="center"/>
        </w:trPr>
        <w:tc>
          <w:tcPr>
            <w:tcW w:w="3596" w:type="dxa"/>
            <w:tcBorders>
              <w:top w:val="nil"/>
              <w:left w:val="nil"/>
              <w:bottom w:val="nil"/>
              <w:right w:val="nil"/>
            </w:tcBorders>
            <w:shd w:val="clear" w:color="auto" w:fill="auto"/>
            <w:noWrap/>
            <w:vAlign w:val="bottom"/>
            <w:hideMark/>
          </w:tcPr>
          <w:p w:rsidR="001E005E" w:rsidRPr="001E005E" w:rsidRDefault="001E005E" w:rsidP="001E005E">
            <w:pPr>
              <w:ind w:firstLineChars="200" w:firstLine="400"/>
              <w:rPr>
                <w:rFonts w:ascii="Calibri" w:hAnsi="Calibri"/>
                <w:bCs w:val="0"/>
                <w:color w:val="000000"/>
                <w:sz w:val="20"/>
                <w:szCs w:val="20"/>
                <w:lang w:eastAsia="en-GB"/>
              </w:rPr>
            </w:pPr>
            <w:r w:rsidRPr="001E005E">
              <w:rPr>
                <w:rFonts w:ascii="Calibri" w:hAnsi="Calibri"/>
                <w:bCs w:val="0"/>
                <w:color w:val="000000"/>
                <w:sz w:val="20"/>
                <w:szCs w:val="20"/>
                <w:lang w:eastAsia="en-GB"/>
              </w:rPr>
              <w:t>Harrow</w:t>
            </w:r>
          </w:p>
        </w:tc>
        <w:tc>
          <w:tcPr>
            <w:tcW w:w="133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87.9%</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85.7%</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87.5%</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85.1%</w:t>
            </w:r>
          </w:p>
        </w:tc>
      </w:tr>
      <w:tr w:rsidR="001E005E" w:rsidRPr="001E005E" w:rsidTr="007B756E">
        <w:trPr>
          <w:trHeight w:val="300"/>
          <w:jc w:val="center"/>
        </w:trPr>
        <w:tc>
          <w:tcPr>
            <w:tcW w:w="3596" w:type="dxa"/>
            <w:tcBorders>
              <w:top w:val="nil"/>
              <w:left w:val="nil"/>
              <w:bottom w:val="nil"/>
              <w:right w:val="nil"/>
            </w:tcBorders>
            <w:shd w:val="clear" w:color="auto" w:fill="auto"/>
            <w:noWrap/>
            <w:vAlign w:val="bottom"/>
            <w:hideMark/>
          </w:tcPr>
          <w:p w:rsidR="001E005E" w:rsidRPr="001E005E" w:rsidRDefault="001E005E" w:rsidP="001E005E">
            <w:pPr>
              <w:ind w:firstLineChars="200" w:firstLine="400"/>
              <w:rPr>
                <w:rFonts w:ascii="Calibri" w:hAnsi="Calibri"/>
                <w:bCs w:val="0"/>
                <w:color w:val="000000"/>
                <w:sz w:val="20"/>
                <w:szCs w:val="20"/>
                <w:lang w:eastAsia="en-GB"/>
              </w:rPr>
            </w:pPr>
            <w:r w:rsidRPr="001E005E">
              <w:rPr>
                <w:rFonts w:ascii="Calibri" w:hAnsi="Calibri"/>
                <w:bCs w:val="0"/>
                <w:color w:val="000000"/>
                <w:sz w:val="20"/>
                <w:szCs w:val="20"/>
                <w:lang w:eastAsia="en-GB"/>
              </w:rPr>
              <w:t>Hillingdon</w:t>
            </w:r>
          </w:p>
        </w:tc>
        <w:tc>
          <w:tcPr>
            <w:tcW w:w="133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90.4%</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91.7%</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89.1%</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88.8%</w:t>
            </w:r>
          </w:p>
        </w:tc>
      </w:tr>
      <w:tr w:rsidR="001E005E" w:rsidRPr="001E005E" w:rsidTr="007B756E">
        <w:trPr>
          <w:trHeight w:val="300"/>
          <w:jc w:val="center"/>
        </w:trPr>
        <w:tc>
          <w:tcPr>
            <w:tcW w:w="3596" w:type="dxa"/>
            <w:tcBorders>
              <w:top w:val="nil"/>
              <w:left w:val="nil"/>
              <w:bottom w:val="nil"/>
              <w:right w:val="nil"/>
            </w:tcBorders>
            <w:shd w:val="clear" w:color="auto" w:fill="auto"/>
            <w:noWrap/>
            <w:vAlign w:val="bottom"/>
            <w:hideMark/>
          </w:tcPr>
          <w:p w:rsidR="001E005E" w:rsidRPr="001E005E" w:rsidRDefault="001E005E" w:rsidP="001E005E">
            <w:pPr>
              <w:ind w:firstLineChars="200" w:firstLine="400"/>
              <w:rPr>
                <w:rFonts w:ascii="Calibri" w:hAnsi="Calibri"/>
                <w:bCs w:val="0"/>
                <w:color w:val="000000"/>
                <w:sz w:val="20"/>
                <w:szCs w:val="20"/>
                <w:lang w:eastAsia="en-GB"/>
              </w:rPr>
            </w:pPr>
            <w:r w:rsidRPr="001E005E">
              <w:rPr>
                <w:rFonts w:ascii="Calibri" w:hAnsi="Calibri"/>
                <w:bCs w:val="0"/>
                <w:color w:val="000000"/>
                <w:sz w:val="20"/>
                <w:szCs w:val="20"/>
                <w:lang w:eastAsia="en-GB"/>
              </w:rPr>
              <w:t>Hounslow</w:t>
            </w:r>
          </w:p>
        </w:tc>
        <w:tc>
          <w:tcPr>
            <w:tcW w:w="133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87.5%</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88.1%</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86.4%</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87.5%</w:t>
            </w:r>
          </w:p>
        </w:tc>
      </w:tr>
      <w:tr w:rsidR="001E005E" w:rsidRPr="001E005E" w:rsidTr="007B756E">
        <w:trPr>
          <w:trHeight w:val="300"/>
          <w:jc w:val="center"/>
        </w:trPr>
        <w:tc>
          <w:tcPr>
            <w:tcW w:w="3596" w:type="dxa"/>
            <w:tcBorders>
              <w:top w:val="nil"/>
              <w:left w:val="nil"/>
              <w:bottom w:val="nil"/>
              <w:right w:val="nil"/>
            </w:tcBorders>
            <w:shd w:val="clear" w:color="auto" w:fill="auto"/>
            <w:noWrap/>
            <w:vAlign w:val="bottom"/>
            <w:hideMark/>
          </w:tcPr>
          <w:p w:rsidR="001E005E" w:rsidRPr="001E005E" w:rsidRDefault="001E005E" w:rsidP="001E005E">
            <w:pPr>
              <w:ind w:firstLineChars="200" w:firstLine="400"/>
              <w:rPr>
                <w:rFonts w:ascii="Calibri" w:hAnsi="Calibri"/>
                <w:bCs w:val="0"/>
                <w:color w:val="000000"/>
                <w:sz w:val="20"/>
                <w:szCs w:val="20"/>
                <w:lang w:eastAsia="en-GB"/>
              </w:rPr>
            </w:pPr>
            <w:r w:rsidRPr="001E005E">
              <w:rPr>
                <w:rFonts w:ascii="Calibri" w:hAnsi="Calibri"/>
                <w:bCs w:val="0"/>
                <w:color w:val="000000"/>
                <w:sz w:val="20"/>
                <w:szCs w:val="20"/>
                <w:lang w:eastAsia="en-GB"/>
              </w:rPr>
              <w:t>Kensington and Chelsea</w:t>
            </w:r>
          </w:p>
        </w:tc>
        <w:tc>
          <w:tcPr>
            <w:tcW w:w="133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79.8%</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79.8%</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78.1%</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78.6%</w:t>
            </w:r>
          </w:p>
        </w:tc>
      </w:tr>
      <w:tr w:rsidR="001E005E" w:rsidRPr="001E005E" w:rsidTr="007B756E">
        <w:trPr>
          <w:trHeight w:val="300"/>
          <w:jc w:val="center"/>
        </w:trPr>
        <w:tc>
          <w:tcPr>
            <w:tcW w:w="3596" w:type="dxa"/>
            <w:tcBorders>
              <w:top w:val="nil"/>
              <w:left w:val="nil"/>
              <w:bottom w:val="nil"/>
              <w:right w:val="nil"/>
            </w:tcBorders>
            <w:shd w:val="clear" w:color="auto" w:fill="auto"/>
            <w:noWrap/>
            <w:vAlign w:val="bottom"/>
            <w:hideMark/>
          </w:tcPr>
          <w:p w:rsidR="001E005E" w:rsidRPr="001E005E" w:rsidRDefault="001E005E" w:rsidP="001E005E">
            <w:pPr>
              <w:ind w:firstLineChars="200" w:firstLine="400"/>
              <w:rPr>
                <w:rFonts w:ascii="Calibri" w:hAnsi="Calibri"/>
                <w:bCs w:val="0"/>
                <w:color w:val="000000"/>
                <w:sz w:val="20"/>
                <w:szCs w:val="20"/>
                <w:lang w:eastAsia="en-GB"/>
              </w:rPr>
            </w:pPr>
            <w:r w:rsidRPr="001E005E">
              <w:rPr>
                <w:rFonts w:ascii="Calibri" w:hAnsi="Calibri"/>
                <w:bCs w:val="0"/>
                <w:color w:val="000000"/>
                <w:sz w:val="20"/>
                <w:szCs w:val="20"/>
                <w:lang w:eastAsia="en-GB"/>
              </w:rPr>
              <w:t>Westminster</w:t>
            </w:r>
          </w:p>
        </w:tc>
        <w:tc>
          <w:tcPr>
            <w:tcW w:w="133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79.8%</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81.4%</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79.4%</w:t>
            </w:r>
          </w:p>
        </w:tc>
        <w:tc>
          <w:tcPr>
            <w:tcW w:w="996" w:type="dxa"/>
            <w:tcBorders>
              <w:top w:val="nil"/>
              <w:left w:val="nil"/>
              <w:bottom w:val="nil"/>
              <w:right w:val="nil"/>
            </w:tcBorders>
            <w:shd w:val="clear" w:color="000000" w:fill="FFFFFF"/>
            <w:noWrap/>
            <w:vAlign w:val="bottom"/>
            <w:hideMark/>
          </w:tcPr>
          <w:p w:rsidR="001E005E" w:rsidRPr="001E005E" w:rsidRDefault="001E005E" w:rsidP="001E005E">
            <w:pPr>
              <w:jc w:val="right"/>
              <w:rPr>
                <w:rFonts w:ascii="Calibri" w:hAnsi="Calibri"/>
                <w:b/>
                <w:color w:val="000000"/>
                <w:sz w:val="20"/>
                <w:szCs w:val="20"/>
                <w:lang w:eastAsia="en-GB"/>
              </w:rPr>
            </w:pPr>
            <w:r w:rsidRPr="001E005E">
              <w:rPr>
                <w:rFonts w:ascii="Calibri" w:hAnsi="Calibri"/>
                <w:b/>
                <w:color w:val="000000"/>
                <w:sz w:val="20"/>
                <w:szCs w:val="20"/>
                <w:lang w:eastAsia="en-GB"/>
              </w:rPr>
              <w:t>79.5%</w:t>
            </w:r>
          </w:p>
        </w:tc>
      </w:tr>
    </w:tbl>
    <w:p w:rsidR="00E739AB" w:rsidRDefault="00E739AB" w:rsidP="00C85184">
      <w:pPr>
        <w:pStyle w:val="ListParagraph"/>
        <w:rPr>
          <w:rFonts w:cs="Arial"/>
          <w:i/>
          <w:sz w:val="20"/>
          <w:szCs w:val="20"/>
        </w:rPr>
      </w:pPr>
    </w:p>
    <w:p w:rsidR="00E739AB" w:rsidRDefault="00E739AB" w:rsidP="00C85184">
      <w:pPr>
        <w:pStyle w:val="ListParagraph"/>
        <w:rPr>
          <w:rFonts w:cs="Arial"/>
          <w:i/>
          <w:sz w:val="20"/>
          <w:szCs w:val="20"/>
        </w:rPr>
      </w:pPr>
    </w:p>
    <w:p w:rsidR="00D55E97" w:rsidRPr="00335ED1" w:rsidRDefault="00D55E97" w:rsidP="00C85184">
      <w:pPr>
        <w:pStyle w:val="ListParagraph"/>
        <w:rPr>
          <w:rFonts w:cs="Arial"/>
          <w:i/>
          <w:sz w:val="20"/>
          <w:szCs w:val="20"/>
        </w:rPr>
      </w:pPr>
      <w:r w:rsidRPr="00335ED1">
        <w:rPr>
          <w:rFonts w:cs="Arial"/>
          <w:i/>
          <w:sz w:val="20"/>
          <w:szCs w:val="20"/>
        </w:rPr>
        <w:t>*</w:t>
      </w:r>
      <w:r>
        <w:rPr>
          <w:rFonts w:cs="Arial"/>
          <w:i/>
          <w:sz w:val="20"/>
          <w:szCs w:val="20"/>
        </w:rPr>
        <w:t>please not</w:t>
      </w:r>
      <w:r w:rsidR="00C85184">
        <w:rPr>
          <w:rFonts w:cs="Arial"/>
          <w:i/>
          <w:sz w:val="20"/>
          <w:szCs w:val="20"/>
        </w:rPr>
        <w:t>e</w:t>
      </w:r>
      <w:r>
        <w:rPr>
          <w:rFonts w:cs="Arial"/>
          <w:i/>
          <w:sz w:val="20"/>
          <w:szCs w:val="20"/>
        </w:rPr>
        <w:t xml:space="preserve"> that t</w:t>
      </w:r>
      <w:r w:rsidRPr="00D55E97">
        <w:rPr>
          <w:rFonts w:cs="Arial"/>
          <w:i/>
          <w:sz w:val="20"/>
          <w:szCs w:val="20"/>
        </w:rPr>
        <w:t xml:space="preserve">he migration of GP data to the NE London CHIS hub has affected coverage estimates for many of the LAs reported by this hub. As a consequence, London-level coverage figures are under-estimated this quarter. Due to the impact London data has on national figures, England estimates have not been calculated for this </w:t>
      </w:r>
      <w:r>
        <w:rPr>
          <w:rFonts w:cs="Arial"/>
          <w:i/>
          <w:sz w:val="20"/>
          <w:szCs w:val="20"/>
        </w:rPr>
        <w:t>quarter</w:t>
      </w:r>
      <w:r w:rsidRPr="00C85184">
        <w:rPr>
          <w:rFonts w:cs="Arial"/>
          <w:i/>
          <w:sz w:val="20"/>
          <w:szCs w:val="20"/>
        </w:rPr>
        <w:t>.</w:t>
      </w:r>
    </w:p>
    <w:p w:rsidR="001E005E" w:rsidRPr="00B667FD" w:rsidRDefault="001E005E" w:rsidP="00B667FD">
      <w:pPr>
        <w:pStyle w:val="ListParagraph"/>
        <w:jc w:val="center"/>
        <w:rPr>
          <w:rFonts w:cs="Arial"/>
          <w:i/>
          <w:szCs w:val="24"/>
        </w:rPr>
      </w:pPr>
    </w:p>
    <w:p w:rsidR="00B667FD" w:rsidRDefault="001E005E" w:rsidP="001E005E">
      <w:pPr>
        <w:pStyle w:val="ListParagraph"/>
        <w:ind w:left="-567"/>
        <w:jc w:val="center"/>
        <w:rPr>
          <w:rFonts w:cs="Arial"/>
          <w:i/>
          <w:szCs w:val="24"/>
        </w:rPr>
      </w:pPr>
      <w:r>
        <w:rPr>
          <w:noProof/>
          <w:lang w:eastAsia="en-GB"/>
        </w:rPr>
        <w:lastRenderedPageBreak/>
        <w:drawing>
          <wp:inline distT="0" distB="0" distL="0" distR="0" wp14:anchorId="3436B7AD" wp14:editId="32313001">
            <wp:extent cx="6819900" cy="4333875"/>
            <wp:effectExtent l="0" t="0" r="0" b="0"/>
            <wp:docPr id="552" name="Chart 5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E005E" w:rsidRDefault="001E005E" w:rsidP="001E005E">
      <w:pPr>
        <w:pStyle w:val="ListParagraph"/>
        <w:rPr>
          <w:rFonts w:cs="Arial"/>
          <w:i/>
          <w:szCs w:val="24"/>
        </w:rPr>
      </w:pPr>
    </w:p>
    <w:p w:rsidR="00620D56" w:rsidRPr="00B667FD" w:rsidRDefault="001E005E" w:rsidP="001E005E">
      <w:pPr>
        <w:pStyle w:val="ListParagraph"/>
        <w:jc w:val="right"/>
        <w:rPr>
          <w:rFonts w:cs="Arial"/>
          <w:i/>
          <w:szCs w:val="24"/>
        </w:rPr>
      </w:pPr>
      <w:r>
        <w:rPr>
          <w:rFonts w:cs="Arial"/>
          <w:i/>
          <w:szCs w:val="24"/>
        </w:rPr>
        <w:t>Source: PHE (2018)</w:t>
      </w:r>
    </w:p>
    <w:p w:rsidR="00D459F4" w:rsidRDefault="00D459F4" w:rsidP="00D459F4">
      <w:pPr>
        <w:jc w:val="both"/>
        <w:rPr>
          <w:rFonts w:cs="Arial"/>
          <w:szCs w:val="24"/>
        </w:rPr>
      </w:pPr>
    </w:p>
    <w:p w:rsidR="00EC50B8" w:rsidRPr="00AB6724" w:rsidRDefault="00F85483" w:rsidP="00815046">
      <w:pPr>
        <w:pStyle w:val="Heading2"/>
        <w:jc w:val="both"/>
        <w:rPr>
          <w:rFonts w:cs="Arial"/>
        </w:rPr>
      </w:pPr>
      <w:bookmarkStart w:id="12" w:name="_Toc531010364"/>
      <w:r>
        <w:rPr>
          <w:rFonts w:cs="Arial"/>
        </w:rPr>
        <w:t xml:space="preserve">Meningococcal </w:t>
      </w:r>
      <w:r w:rsidR="00E47AD6">
        <w:rPr>
          <w:rFonts w:cs="Arial"/>
        </w:rPr>
        <w:t xml:space="preserve">B </w:t>
      </w:r>
      <w:r>
        <w:rPr>
          <w:rFonts w:cs="Arial"/>
        </w:rPr>
        <w:t>vaccination</w:t>
      </w:r>
      <w:bookmarkEnd w:id="12"/>
    </w:p>
    <w:p w:rsidR="00E47AD6" w:rsidRDefault="00E47AD6" w:rsidP="00815046">
      <w:pPr>
        <w:pStyle w:val="ListParagraph"/>
        <w:numPr>
          <w:ilvl w:val="0"/>
          <w:numId w:val="14"/>
        </w:numPr>
        <w:jc w:val="both"/>
        <w:rPr>
          <w:rFonts w:cs="Arial"/>
          <w:szCs w:val="24"/>
        </w:rPr>
      </w:pPr>
      <w:r>
        <w:rPr>
          <w:rFonts w:cs="Arial"/>
          <w:szCs w:val="24"/>
        </w:rPr>
        <w:t xml:space="preserve">Since September 2015, all infants are offered a course of meningococcal B </w:t>
      </w:r>
      <w:r w:rsidR="00911740">
        <w:rPr>
          <w:rFonts w:cs="Arial"/>
          <w:szCs w:val="24"/>
        </w:rPr>
        <w:t xml:space="preserve">(men B) </w:t>
      </w:r>
      <w:r>
        <w:rPr>
          <w:rFonts w:cs="Arial"/>
          <w:szCs w:val="24"/>
        </w:rPr>
        <w:t>vaccine as part of the Routine Childhood Schedule.  Eligible infants were those babies born on or after 1</w:t>
      </w:r>
      <w:r w:rsidRPr="00E47AD6">
        <w:rPr>
          <w:rFonts w:cs="Arial"/>
          <w:szCs w:val="24"/>
          <w:vertAlign w:val="superscript"/>
        </w:rPr>
        <w:t>st</w:t>
      </w:r>
      <w:r>
        <w:rPr>
          <w:rFonts w:cs="Arial"/>
          <w:szCs w:val="24"/>
        </w:rPr>
        <w:t xml:space="preserve"> July 2015</w:t>
      </w:r>
      <w:r w:rsidR="00D03AE5">
        <w:rPr>
          <w:rFonts w:cs="Arial"/>
          <w:szCs w:val="24"/>
        </w:rPr>
        <w:t>.</w:t>
      </w:r>
    </w:p>
    <w:p w:rsidR="00AB6724" w:rsidRPr="007F4FBF" w:rsidRDefault="00A46EB3" w:rsidP="00815046">
      <w:pPr>
        <w:pStyle w:val="ListParagraph"/>
        <w:numPr>
          <w:ilvl w:val="0"/>
          <w:numId w:val="14"/>
        </w:numPr>
        <w:jc w:val="both"/>
        <w:rPr>
          <w:rFonts w:cs="Arial"/>
          <w:szCs w:val="24"/>
        </w:rPr>
      </w:pPr>
      <w:r w:rsidRPr="007F4FBF">
        <w:rPr>
          <w:rFonts w:cs="Arial"/>
          <w:szCs w:val="24"/>
        </w:rPr>
        <w:t xml:space="preserve">It can be seen that </w:t>
      </w:r>
      <w:r w:rsidR="00E3016F" w:rsidRPr="007F4FBF">
        <w:rPr>
          <w:rFonts w:cs="Arial"/>
          <w:szCs w:val="24"/>
        </w:rPr>
        <w:t>Harrow</w:t>
      </w:r>
      <w:r w:rsidRPr="007F4FBF">
        <w:rPr>
          <w:rFonts w:cs="Arial"/>
          <w:szCs w:val="24"/>
        </w:rPr>
        <w:t xml:space="preserve"> performs</w:t>
      </w:r>
      <w:r w:rsidR="007F4FBF">
        <w:rPr>
          <w:rFonts w:cs="Arial"/>
          <w:szCs w:val="24"/>
        </w:rPr>
        <w:t xml:space="preserve"> mainly just</w:t>
      </w:r>
      <w:r w:rsidRPr="007F4FBF">
        <w:rPr>
          <w:rFonts w:cs="Arial"/>
          <w:szCs w:val="24"/>
        </w:rPr>
        <w:t xml:space="preserve"> </w:t>
      </w:r>
      <w:r w:rsidR="00D55E97" w:rsidRPr="007F4FBF">
        <w:rPr>
          <w:rFonts w:cs="Arial"/>
          <w:szCs w:val="24"/>
        </w:rPr>
        <w:t>above the</w:t>
      </w:r>
      <w:r w:rsidRPr="007F4FBF">
        <w:rPr>
          <w:rFonts w:cs="Arial"/>
          <w:szCs w:val="24"/>
        </w:rPr>
        <w:t xml:space="preserve"> London </w:t>
      </w:r>
      <w:r w:rsidR="00D55E97" w:rsidRPr="007F4FBF">
        <w:rPr>
          <w:rFonts w:cs="Arial"/>
          <w:szCs w:val="24"/>
        </w:rPr>
        <w:t>average</w:t>
      </w:r>
      <w:r w:rsidR="00AC5CA0" w:rsidRPr="007F4FBF">
        <w:rPr>
          <w:rFonts w:cs="Arial"/>
          <w:szCs w:val="24"/>
        </w:rPr>
        <w:t xml:space="preserve">. </w:t>
      </w:r>
    </w:p>
    <w:p w:rsidR="00E02A0B" w:rsidRDefault="00E02A0B" w:rsidP="00AB6724">
      <w:pPr>
        <w:jc w:val="center"/>
        <w:rPr>
          <w:rFonts w:cs="Arial"/>
          <w:i/>
          <w:szCs w:val="24"/>
        </w:rPr>
      </w:pPr>
    </w:p>
    <w:p w:rsidR="00E47AD6" w:rsidRPr="00B91C9B" w:rsidRDefault="00E02A0B" w:rsidP="00E02A0B">
      <w:pPr>
        <w:jc w:val="center"/>
        <w:rPr>
          <w:rFonts w:cs="Arial"/>
          <w:i/>
          <w:szCs w:val="24"/>
        </w:rPr>
      </w:pPr>
      <w:r>
        <w:rPr>
          <w:rFonts w:cs="Arial"/>
          <w:i/>
          <w:szCs w:val="24"/>
        </w:rPr>
        <w:t>F</w:t>
      </w:r>
      <w:r w:rsidR="00B91C9B" w:rsidRPr="00B91C9B">
        <w:rPr>
          <w:rFonts w:cs="Arial"/>
          <w:i/>
          <w:szCs w:val="24"/>
        </w:rPr>
        <w:t xml:space="preserve">igure </w:t>
      </w:r>
      <w:r w:rsidR="00AE00CD">
        <w:rPr>
          <w:rFonts w:cs="Arial"/>
          <w:i/>
          <w:szCs w:val="24"/>
        </w:rPr>
        <w:t>9</w:t>
      </w:r>
    </w:p>
    <w:p w:rsidR="00B91C9B" w:rsidRDefault="00E02A0B" w:rsidP="00702938">
      <w:pPr>
        <w:jc w:val="center"/>
        <w:rPr>
          <w:rFonts w:cs="Arial"/>
          <w:i/>
          <w:szCs w:val="24"/>
        </w:rPr>
      </w:pPr>
      <w:r w:rsidRPr="007F4FBF">
        <w:rPr>
          <w:rFonts w:cs="Arial"/>
          <w:i/>
          <w:szCs w:val="24"/>
        </w:rPr>
        <w:t xml:space="preserve">Uptake of two doses of Men B vaccination by 12 months in </w:t>
      </w:r>
      <w:r w:rsidR="00E3016F" w:rsidRPr="007F4FBF">
        <w:rPr>
          <w:rFonts w:cs="Arial"/>
          <w:i/>
          <w:szCs w:val="24"/>
        </w:rPr>
        <w:t>Harrow</w:t>
      </w:r>
      <w:r w:rsidRPr="007F4FBF">
        <w:rPr>
          <w:rFonts w:cs="Arial"/>
          <w:i/>
          <w:szCs w:val="24"/>
        </w:rPr>
        <w:t xml:space="preserve"> compared </w:t>
      </w:r>
      <w:r w:rsidR="00AC22A8" w:rsidRPr="007F4FBF">
        <w:rPr>
          <w:rFonts w:cs="Arial"/>
          <w:i/>
          <w:szCs w:val="24"/>
        </w:rPr>
        <w:t>to</w:t>
      </w:r>
      <w:r w:rsidR="00AC22A8">
        <w:rPr>
          <w:rFonts w:cs="Arial"/>
          <w:i/>
          <w:szCs w:val="24"/>
        </w:rPr>
        <w:t xml:space="preserve"> London and England </w:t>
      </w:r>
    </w:p>
    <w:p w:rsidR="007F4FBF" w:rsidRDefault="007F4FBF" w:rsidP="00702938">
      <w:pPr>
        <w:jc w:val="center"/>
        <w:rPr>
          <w:rFonts w:cs="Arial"/>
          <w:i/>
          <w:szCs w:val="24"/>
        </w:rPr>
      </w:pPr>
    </w:p>
    <w:p w:rsidR="00D03AE5" w:rsidRDefault="007F4FBF" w:rsidP="007F4FBF">
      <w:pPr>
        <w:jc w:val="center"/>
        <w:rPr>
          <w:rFonts w:cs="Arial"/>
          <w:i/>
          <w:szCs w:val="24"/>
        </w:rPr>
      </w:pPr>
      <w:r>
        <w:rPr>
          <w:noProof/>
          <w:lang w:eastAsia="en-GB"/>
        </w:rPr>
        <w:drawing>
          <wp:inline distT="0" distB="0" distL="0" distR="0" wp14:anchorId="12E9AF6D" wp14:editId="29FBADAF">
            <wp:extent cx="4061460" cy="2080260"/>
            <wp:effectExtent l="0" t="0" r="15240" b="15240"/>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22A8" w:rsidRPr="00AC22A8" w:rsidRDefault="00AC22A8" w:rsidP="00D55E97">
      <w:pPr>
        <w:rPr>
          <w:rFonts w:cs="Arial"/>
          <w:i/>
          <w:szCs w:val="24"/>
        </w:rPr>
      </w:pPr>
    </w:p>
    <w:p w:rsidR="0022158B" w:rsidRDefault="0022158B" w:rsidP="0022158B">
      <w:pPr>
        <w:jc w:val="right"/>
        <w:rPr>
          <w:i/>
        </w:rPr>
      </w:pPr>
      <w:r w:rsidRPr="00911740">
        <w:rPr>
          <w:i/>
        </w:rPr>
        <w:t xml:space="preserve">Source: PHE </w:t>
      </w:r>
      <w:r w:rsidR="00D03AE5">
        <w:rPr>
          <w:i/>
        </w:rPr>
        <w:t>(2018</w:t>
      </w:r>
      <w:r w:rsidRPr="00911740">
        <w:rPr>
          <w:i/>
        </w:rPr>
        <w:t>)</w:t>
      </w:r>
    </w:p>
    <w:p w:rsidR="00E02A0B" w:rsidRPr="00335ED1" w:rsidRDefault="00335ED1" w:rsidP="00335ED1">
      <w:pPr>
        <w:pStyle w:val="ListParagraph"/>
        <w:jc w:val="right"/>
        <w:rPr>
          <w:rFonts w:cs="Arial"/>
          <w:i/>
          <w:sz w:val="20"/>
          <w:szCs w:val="20"/>
        </w:rPr>
      </w:pPr>
      <w:r w:rsidRPr="00335ED1">
        <w:rPr>
          <w:rFonts w:cs="Arial"/>
          <w:i/>
          <w:sz w:val="20"/>
          <w:szCs w:val="20"/>
        </w:rPr>
        <w:t>*please note the vaccine was only introduced in</w:t>
      </w:r>
      <w:r>
        <w:rPr>
          <w:rFonts w:cs="Arial"/>
          <w:i/>
          <w:sz w:val="20"/>
          <w:szCs w:val="20"/>
        </w:rPr>
        <w:t xml:space="preserve"> 2015 so this i</w:t>
      </w:r>
      <w:r w:rsidRPr="00335ED1">
        <w:rPr>
          <w:rFonts w:cs="Arial"/>
          <w:i/>
          <w:sz w:val="20"/>
          <w:szCs w:val="20"/>
        </w:rPr>
        <w:t>s the first available</w:t>
      </w:r>
      <w:r>
        <w:rPr>
          <w:rFonts w:cs="Arial"/>
          <w:i/>
          <w:sz w:val="20"/>
          <w:szCs w:val="20"/>
        </w:rPr>
        <w:t xml:space="preserve"> data</w:t>
      </w:r>
    </w:p>
    <w:p w:rsidR="00335ED1" w:rsidRPr="0022158B" w:rsidRDefault="00335ED1" w:rsidP="0022158B">
      <w:pPr>
        <w:jc w:val="right"/>
      </w:pPr>
    </w:p>
    <w:p w:rsidR="00645907" w:rsidRDefault="00645907" w:rsidP="00E02A0B">
      <w:pPr>
        <w:pStyle w:val="Heading2"/>
      </w:pPr>
      <w:bookmarkStart w:id="13" w:name="_Toc531010365"/>
      <w:r>
        <w:t>Child ‘flu vaccination</w:t>
      </w:r>
      <w:bookmarkEnd w:id="13"/>
    </w:p>
    <w:p w:rsidR="0018552E" w:rsidRDefault="0018552E" w:rsidP="0018552E"/>
    <w:p w:rsidR="002658D3" w:rsidRPr="0018552E" w:rsidRDefault="0018552E" w:rsidP="00815046">
      <w:pPr>
        <w:numPr>
          <w:ilvl w:val="0"/>
          <w:numId w:val="50"/>
        </w:numPr>
        <w:jc w:val="both"/>
      </w:pPr>
      <w:r w:rsidRPr="0018552E">
        <w:t xml:space="preserve">There is a national ambition for 40-60% and from London achieved these </w:t>
      </w:r>
      <w:r w:rsidR="007476D9">
        <w:t xml:space="preserve">in 17/18 </w:t>
      </w:r>
      <w:r w:rsidRPr="0018552E">
        <w:t xml:space="preserve">for the school age groups.  </w:t>
      </w:r>
    </w:p>
    <w:p w:rsidR="002658D3" w:rsidRPr="0018552E" w:rsidRDefault="0018552E" w:rsidP="00815046">
      <w:pPr>
        <w:numPr>
          <w:ilvl w:val="0"/>
          <w:numId w:val="50"/>
        </w:numPr>
        <w:jc w:val="both"/>
      </w:pPr>
      <w:r w:rsidRPr="0018552E">
        <w:t xml:space="preserve">Our goal in London was to achieve 40% uptake rates in 2 and 3 year olds and 50% in School Years 1, 2 and 3 and 40% in reception and School year 4 </w:t>
      </w:r>
    </w:p>
    <w:p w:rsidR="002658D3" w:rsidRDefault="0018552E" w:rsidP="00815046">
      <w:pPr>
        <w:numPr>
          <w:ilvl w:val="0"/>
          <w:numId w:val="50"/>
        </w:numPr>
        <w:jc w:val="both"/>
      </w:pPr>
      <w:r w:rsidRPr="0018552E">
        <w:t xml:space="preserve">Age 2 and 3 remain under 40% but the 2017/18 figures reflect the highest ever proportion of children vaccinated with child flu vaccine in these age groups. </w:t>
      </w:r>
    </w:p>
    <w:p w:rsidR="00284BDE" w:rsidRPr="00B26A1F" w:rsidRDefault="00AE00CD" w:rsidP="00815046">
      <w:pPr>
        <w:numPr>
          <w:ilvl w:val="0"/>
          <w:numId w:val="50"/>
        </w:numPr>
        <w:jc w:val="both"/>
      </w:pPr>
      <w:r>
        <w:t>Figure 10</w:t>
      </w:r>
      <w:r w:rsidR="00284BDE">
        <w:t xml:space="preserve"> displays the comparison of London’s 2017/18 rates to th</w:t>
      </w:r>
      <w:r>
        <w:t>e previous year whilst Figure 11</w:t>
      </w:r>
      <w:r w:rsidR="00284BDE">
        <w:t xml:space="preserve"> compares </w:t>
      </w:r>
      <w:r w:rsidR="00E3016F">
        <w:t>Harrow</w:t>
      </w:r>
      <w:r w:rsidR="00284BDE">
        <w:t xml:space="preserve"> with the rest of its geographical neighbours and London and England averages.  </w:t>
      </w:r>
      <w:r w:rsidR="00E3016F" w:rsidRPr="00B26A1F">
        <w:t>Harrow</w:t>
      </w:r>
      <w:r w:rsidR="00284BDE" w:rsidRPr="00B26A1F">
        <w:t xml:space="preserve"> perform</w:t>
      </w:r>
      <w:r w:rsidR="00B26A1F" w:rsidRPr="00B26A1F">
        <w:t>s</w:t>
      </w:r>
      <w:r w:rsidR="00284BDE" w:rsidRPr="00B26A1F">
        <w:t xml:space="preserve"> </w:t>
      </w:r>
      <w:r w:rsidR="00B26A1F" w:rsidRPr="00B26A1F">
        <w:t>well</w:t>
      </w:r>
      <w:r w:rsidR="00284BDE" w:rsidRPr="00B26A1F">
        <w:t xml:space="preserve"> across the age groups,</w:t>
      </w:r>
      <w:r w:rsidR="00B26A1F" w:rsidRPr="00B26A1F">
        <w:t xml:space="preserve"> particularly when the vaccine is given in the school setting by the community provider CLCH, where they achieve the highest rates in the North West area.</w:t>
      </w:r>
      <w:r w:rsidR="00284BDE" w:rsidRPr="00B26A1F">
        <w:t xml:space="preserve"> </w:t>
      </w:r>
      <w:r w:rsidR="00B26A1F" w:rsidRPr="00B26A1F">
        <w:t>There</w:t>
      </w:r>
      <w:r w:rsidR="00284BDE" w:rsidRPr="00B26A1F">
        <w:t xml:space="preserve"> </w:t>
      </w:r>
      <w:proofErr w:type="gramStart"/>
      <w:r w:rsidR="00284BDE" w:rsidRPr="00B26A1F">
        <w:t>are</w:t>
      </w:r>
      <w:r w:rsidR="00B26A1F" w:rsidRPr="00B26A1F">
        <w:t xml:space="preserve"> also</w:t>
      </w:r>
      <w:r w:rsidR="00284BDE" w:rsidRPr="00B26A1F">
        <w:t xml:space="preserve"> year</w:t>
      </w:r>
      <w:proofErr w:type="gramEnd"/>
      <w:r w:rsidR="00284BDE" w:rsidRPr="00B26A1F">
        <w:t xml:space="preserve"> on year improvements</w:t>
      </w:r>
      <w:r w:rsidR="00B26A1F" w:rsidRPr="00B26A1F">
        <w:t xml:space="preserve"> in each cohort</w:t>
      </w:r>
      <w:r w:rsidR="00284BDE" w:rsidRPr="00B26A1F">
        <w:t>.  T</w:t>
      </w:r>
      <w:r w:rsidR="007B756E" w:rsidRPr="00B26A1F">
        <w:t xml:space="preserve">his can be seen in the </w:t>
      </w:r>
      <w:r w:rsidR="00B26A1F" w:rsidRPr="00B26A1F">
        <w:t>56.6</w:t>
      </w:r>
      <w:r w:rsidR="00284BDE" w:rsidRPr="00B26A1F">
        <w:t>% of reception children being vaccinated, which is higher than the original child ‘flu group of Year 4 (they’ve been receiving the v</w:t>
      </w:r>
      <w:r w:rsidR="00B26A1F" w:rsidRPr="00B26A1F">
        <w:t>accination since Year 1), where</w:t>
      </w:r>
      <w:r w:rsidR="00284BDE" w:rsidRPr="00B26A1F">
        <w:t xml:space="preserve"> </w:t>
      </w:r>
      <w:r w:rsidR="00B26A1F" w:rsidRPr="00B26A1F">
        <w:t>49.8</w:t>
      </w:r>
      <w:r w:rsidR="00284BDE" w:rsidRPr="00B26A1F">
        <w:t xml:space="preserve">% were vaccinated. </w:t>
      </w:r>
    </w:p>
    <w:p w:rsidR="00335ED1" w:rsidRDefault="00335ED1" w:rsidP="00815046">
      <w:pPr>
        <w:jc w:val="both"/>
        <w:rPr>
          <w:i/>
        </w:rPr>
      </w:pPr>
    </w:p>
    <w:p w:rsidR="000A4053" w:rsidRPr="000A4053" w:rsidRDefault="00AE00CD" w:rsidP="000A4053">
      <w:pPr>
        <w:jc w:val="center"/>
        <w:rPr>
          <w:i/>
        </w:rPr>
      </w:pPr>
      <w:r>
        <w:rPr>
          <w:i/>
        </w:rPr>
        <w:t>Figure 10</w:t>
      </w:r>
    </w:p>
    <w:p w:rsidR="000A4053" w:rsidRPr="000A4053" w:rsidRDefault="000A4053" w:rsidP="000A4053">
      <w:pPr>
        <w:jc w:val="center"/>
        <w:rPr>
          <w:i/>
        </w:rPr>
      </w:pPr>
      <w:r w:rsidRPr="000A4053">
        <w:rPr>
          <w:i/>
        </w:rPr>
        <w:t>Child ‘Flu vaccination rates for London 2016/17 and 2017/18</w:t>
      </w:r>
    </w:p>
    <w:tbl>
      <w:tblPr>
        <w:tblW w:w="9491" w:type="dxa"/>
        <w:tblCellMar>
          <w:left w:w="0" w:type="dxa"/>
          <w:right w:w="0" w:type="dxa"/>
        </w:tblCellMar>
        <w:tblLook w:val="0420" w:firstRow="1" w:lastRow="0" w:firstColumn="0" w:lastColumn="0" w:noHBand="0" w:noVBand="1"/>
      </w:tblPr>
      <w:tblGrid>
        <w:gridCol w:w="1349"/>
        <w:gridCol w:w="1201"/>
        <w:gridCol w:w="1201"/>
        <w:gridCol w:w="1796"/>
        <w:gridCol w:w="986"/>
        <w:gridCol w:w="986"/>
        <w:gridCol w:w="986"/>
        <w:gridCol w:w="986"/>
      </w:tblGrid>
      <w:tr w:rsidR="00645907" w:rsidRPr="00645907" w:rsidTr="00645907">
        <w:trPr>
          <w:trHeight w:val="19"/>
        </w:trPr>
        <w:tc>
          <w:tcPr>
            <w:tcW w:w="1349" w:type="dxa"/>
            <w:tcBorders>
              <w:top w:val="single" w:sz="8" w:space="0" w:color="FFFFFF"/>
              <w:left w:val="single" w:sz="8" w:space="0" w:color="FFFFFF"/>
              <w:bottom w:val="single" w:sz="24" w:space="0" w:color="FFFFFF"/>
              <w:right w:val="single" w:sz="8" w:space="0" w:color="FFFFFF"/>
            </w:tcBorders>
            <w:shd w:val="clear" w:color="auto" w:fill="F9A25E"/>
            <w:tcMar>
              <w:top w:w="72" w:type="dxa"/>
              <w:left w:w="144" w:type="dxa"/>
              <w:bottom w:w="72" w:type="dxa"/>
              <w:right w:w="144" w:type="dxa"/>
            </w:tcMar>
            <w:hideMark/>
          </w:tcPr>
          <w:p w:rsidR="00645907" w:rsidRPr="00645907" w:rsidRDefault="00645907" w:rsidP="00645907">
            <w:pPr>
              <w:rPr>
                <w:rFonts w:cs="Arial"/>
                <w:bCs w:val="0"/>
                <w:szCs w:val="24"/>
                <w:lang w:eastAsia="en-GB"/>
              </w:rPr>
            </w:pPr>
          </w:p>
        </w:tc>
        <w:tc>
          <w:tcPr>
            <w:tcW w:w="1201" w:type="dxa"/>
            <w:tcBorders>
              <w:top w:val="single" w:sz="8" w:space="0" w:color="FFFFFF"/>
              <w:left w:val="single" w:sz="8" w:space="0" w:color="FFFFFF"/>
              <w:bottom w:val="single" w:sz="24" w:space="0" w:color="FFFFFF"/>
              <w:right w:val="single" w:sz="8" w:space="0" w:color="FFFFFF"/>
            </w:tcBorders>
            <w:shd w:val="clear" w:color="auto" w:fill="F9A25E"/>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
                <w:color w:val="FFFFFF" w:themeColor="light1"/>
                <w:kern w:val="24"/>
                <w:szCs w:val="24"/>
                <w:lang w:eastAsia="en-GB"/>
              </w:rPr>
              <w:t>Age 2</w:t>
            </w:r>
          </w:p>
        </w:tc>
        <w:tc>
          <w:tcPr>
            <w:tcW w:w="1201" w:type="dxa"/>
            <w:tcBorders>
              <w:top w:val="single" w:sz="8" w:space="0" w:color="FFFFFF"/>
              <w:left w:val="single" w:sz="8" w:space="0" w:color="FFFFFF"/>
              <w:bottom w:val="single" w:sz="24" w:space="0" w:color="FFFFFF"/>
              <w:right w:val="single" w:sz="8" w:space="0" w:color="FFFFFF"/>
            </w:tcBorders>
            <w:shd w:val="clear" w:color="auto" w:fill="F9A25E"/>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
                <w:color w:val="FFFFFF" w:themeColor="light1"/>
                <w:kern w:val="24"/>
                <w:szCs w:val="24"/>
                <w:lang w:eastAsia="en-GB"/>
              </w:rPr>
              <w:t>Age 3</w:t>
            </w:r>
          </w:p>
        </w:tc>
        <w:tc>
          <w:tcPr>
            <w:tcW w:w="1796" w:type="dxa"/>
            <w:tcBorders>
              <w:top w:val="single" w:sz="8" w:space="0" w:color="FFFFFF"/>
              <w:left w:val="single" w:sz="8" w:space="0" w:color="FFFFFF"/>
              <w:bottom w:val="single" w:sz="24" w:space="0" w:color="FFFFFF"/>
              <w:right w:val="single" w:sz="8" w:space="0" w:color="FFFFFF"/>
            </w:tcBorders>
            <w:shd w:val="clear" w:color="auto" w:fill="F9A25E"/>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
                <w:color w:val="FFFFFF" w:themeColor="light1"/>
                <w:kern w:val="24"/>
                <w:szCs w:val="24"/>
                <w:lang w:eastAsia="en-GB"/>
              </w:rPr>
              <w:t>Reception</w:t>
            </w:r>
          </w:p>
        </w:tc>
        <w:tc>
          <w:tcPr>
            <w:tcW w:w="986" w:type="dxa"/>
            <w:tcBorders>
              <w:top w:val="single" w:sz="8" w:space="0" w:color="FFFFFF"/>
              <w:left w:val="single" w:sz="8" w:space="0" w:color="FFFFFF"/>
              <w:bottom w:val="single" w:sz="24" w:space="0" w:color="FFFFFF"/>
              <w:right w:val="single" w:sz="8" w:space="0" w:color="FFFFFF"/>
            </w:tcBorders>
            <w:shd w:val="clear" w:color="auto" w:fill="F9A25E"/>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
                <w:color w:val="FFFFFF" w:themeColor="light1"/>
                <w:kern w:val="24"/>
                <w:szCs w:val="24"/>
                <w:lang w:eastAsia="en-GB"/>
              </w:rPr>
              <w:t>Year 1</w:t>
            </w:r>
          </w:p>
        </w:tc>
        <w:tc>
          <w:tcPr>
            <w:tcW w:w="986" w:type="dxa"/>
            <w:tcBorders>
              <w:top w:val="single" w:sz="8" w:space="0" w:color="FFFFFF"/>
              <w:left w:val="single" w:sz="8" w:space="0" w:color="FFFFFF"/>
              <w:bottom w:val="single" w:sz="24" w:space="0" w:color="FFFFFF"/>
              <w:right w:val="single" w:sz="8" w:space="0" w:color="FFFFFF"/>
            </w:tcBorders>
            <w:shd w:val="clear" w:color="auto" w:fill="F9A25E"/>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
                <w:color w:val="FFFFFF" w:themeColor="light1"/>
                <w:kern w:val="24"/>
                <w:szCs w:val="24"/>
                <w:lang w:eastAsia="en-GB"/>
              </w:rPr>
              <w:t xml:space="preserve">Year </w:t>
            </w:r>
          </w:p>
          <w:p w:rsidR="00645907" w:rsidRPr="00645907" w:rsidRDefault="00645907" w:rsidP="00645907">
            <w:pPr>
              <w:rPr>
                <w:rFonts w:cs="Arial"/>
                <w:bCs w:val="0"/>
                <w:szCs w:val="24"/>
                <w:lang w:eastAsia="en-GB"/>
              </w:rPr>
            </w:pPr>
            <w:r w:rsidRPr="00645907">
              <w:rPr>
                <w:rFonts w:cs="Arial"/>
                <w:b/>
                <w:color w:val="FFFFFF" w:themeColor="light1"/>
                <w:kern w:val="24"/>
                <w:szCs w:val="24"/>
                <w:lang w:eastAsia="en-GB"/>
              </w:rPr>
              <w:t>2</w:t>
            </w:r>
          </w:p>
        </w:tc>
        <w:tc>
          <w:tcPr>
            <w:tcW w:w="986" w:type="dxa"/>
            <w:tcBorders>
              <w:top w:val="single" w:sz="8" w:space="0" w:color="FFFFFF"/>
              <w:left w:val="single" w:sz="8" w:space="0" w:color="FFFFFF"/>
              <w:bottom w:val="single" w:sz="24" w:space="0" w:color="FFFFFF"/>
              <w:right w:val="single" w:sz="8" w:space="0" w:color="FFFFFF"/>
            </w:tcBorders>
            <w:shd w:val="clear" w:color="auto" w:fill="F9A25E"/>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
                <w:color w:val="FFFFFF" w:themeColor="light1"/>
                <w:kern w:val="24"/>
                <w:szCs w:val="24"/>
                <w:lang w:eastAsia="en-GB"/>
              </w:rPr>
              <w:t xml:space="preserve">Year </w:t>
            </w:r>
          </w:p>
          <w:p w:rsidR="00645907" w:rsidRPr="00645907" w:rsidRDefault="00645907" w:rsidP="00645907">
            <w:pPr>
              <w:rPr>
                <w:rFonts w:cs="Arial"/>
                <w:bCs w:val="0"/>
                <w:szCs w:val="24"/>
                <w:lang w:eastAsia="en-GB"/>
              </w:rPr>
            </w:pPr>
            <w:r w:rsidRPr="00645907">
              <w:rPr>
                <w:rFonts w:cs="Arial"/>
                <w:b/>
                <w:color w:val="FFFFFF" w:themeColor="light1"/>
                <w:kern w:val="24"/>
                <w:szCs w:val="24"/>
                <w:lang w:eastAsia="en-GB"/>
              </w:rPr>
              <w:t>3</w:t>
            </w:r>
          </w:p>
        </w:tc>
        <w:tc>
          <w:tcPr>
            <w:tcW w:w="986" w:type="dxa"/>
            <w:tcBorders>
              <w:top w:val="single" w:sz="8" w:space="0" w:color="FFFFFF"/>
              <w:left w:val="single" w:sz="8" w:space="0" w:color="FFFFFF"/>
              <w:bottom w:val="single" w:sz="24" w:space="0" w:color="FFFFFF"/>
              <w:right w:val="single" w:sz="8" w:space="0" w:color="FFFFFF"/>
            </w:tcBorders>
            <w:shd w:val="clear" w:color="auto" w:fill="F9A25E"/>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
                <w:color w:val="FFFFFF" w:themeColor="light1"/>
                <w:kern w:val="24"/>
                <w:szCs w:val="24"/>
                <w:lang w:eastAsia="en-GB"/>
              </w:rPr>
              <w:t xml:space="preserve">Year </w:t>
            </w:r>
          </w:p>
          <w:p w:rsidR="00645907" w:rsidRPr="00645907" w:rsidRDefault="00645907" w:rsidP="00645907">
            <w:pPr>
              <w:rPr>
                <w:rFonts w:cs="Arial"/>
                <w:bCs w:val="0"/>
                <w:szCs w:val="24"/>
                <w:lang w:eastAsia="en-GB"/>
              </w:rPr>
            </w:pPr>
            <w:r w:rsidRPr="00645907">
              <w:rPr>
                <w:rFonts w:cs="Arial"/>
                <w:b/>
                <w:color w:val="FFFFFF" w:themeColor="light1"/>
                <w:kern w:val="24"/>
                <w:szCs w:val="24"/>
                <w:lang w:eastAsia="en-GB"/>
              </w:rPr>
              <w:t>4</w:t>
            </w:r>
          </w:p>
        </w:tc>
      </w:tr>
      <w:tr w:rsidR="00645907" w:rsidRPr="00645907" w:rsidTr="00645907">
        <w:trPr>
          <w:trHeight w:val="19"/>
        </w:trPr>
        <w:tc>
          <w:tcPr>
            <w:tcW w:w="1349" w:type="dxa"/>
            <w:tcBorders>
              <w:top w:val="single" w:sz="24" w:space="0" w:color="FFFFFF"/>
              <w:left w:val="single" w:sz="8" w:space="0" w:color="FFFFFF"/>
              <w:bottom w:val="single" w:sz="8" w:space="0" w:color="FFFFFF"/>
              <w:right w:val="single" w:sz="8" w:space="0" w:color="FFFFFF"/>
            </w:tcBorders>
            <w:shd w:val="clear" w:color="auto" w:fill="FDE0D2"/>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London</w:t>
            </w:r>
          </w:p>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17/18</w:t>
            </w:r>
          </w:p>
        </w:tc>
        <w:tc>
          <w:tcPr>
            <w:tcW w:w="1201" w:type="dxa"/>
            <w:tcBorders>
              <w:top w:val="single" w:sz="24" w:space="0" w:color="FFFFFF"/>
              <w:left w:val="single" w:sz="8" w:space="0" w:color="FFFFFF"/>
              <w:bottom w:val="single" w:sz="8" w:space="0" w:color="FFFFFF"/>
              <w:right w:val="single" w:sz="8" w:space="0" w:color="FFFFFF"/>
            </w:tcBorders>
            <w:shd w:val="clear" w:color="auto" w:fill="FDE0D2"/>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33.1%</w:t>
            </w:r>
          </w:p>
        </w:tc>
        <w:tc>
          <w:tcPr>
            <w:tcW w:w="1201" w:type="dxa"/>
            <w:tcBorders>
              <w:top w:val="single" w:sz="24" w:space="0" w:color="FFFFFF"/>
              <w:left w:val="single" w:sz="8" w:space="0" w:color="FFFFFF"/>
              <w:bottom w:val="single" w:sz="8" w:space="0" w:color="FFFFFF"/>
              <w:right w:val="single" w:sz="8" w:space="0" w:color="FFFFFF"/>
            </w:tcBorders>
            <w:shd w:val="clear" w:color="auto" w:fill="FDE0D2"/>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33.1%</w:t>
            </w:r>
          </w:p>
        </w:tc>
        <w:tc>
          <w:tcPr>
            <w:tcW w:w="1796" w:type="dxa"/>
            <w:tcBorders>
              <w:top w:val="single" w:sz="24" w:space="0" w:color="FFFFFF"/>
              <w:left w:val="single" w:sz="8" w:space="0" w:color="FFFFFF"/>
              <w:bottom w:val="single" w:sz="8" w:space="0" w:color="FFFFFF"/>
              <w:right w:val="single" w:sz="8" w:space="0" w:color="FFFFFF"/>
            </w:tcBorders>
            <w:shd w:val="clear" w:color="auto" w:fill="FDE0D2"/>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51%</w:t>
            </w:r>
          </w:p>
        </w:tc>
        <w:tc>
          <w:tcPr>
            <w:tcW w:w="986" w:type="dxa"/>
            <w:tcBorders>
              <w:top w:val="single" w:sz="24" w:space="0" w:color="FFFFFF"/>
              <w:left w:val="single" w:sz="8" w:space="0" w:color="FFFFFF"/>
              <w:bottom w:val="single" w:sz="8" w:space="0" w:color="FFFFFF"/>
              <w:right w:val="single" w:sz="8" w:space="0" w:color="FFFFFF"/>
            </w:tcBorders>
            <w:shd w:val="clear" w:color="auto" w:fill="FDE0D2"/>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49%</w:t>
            </w:r>
          </w:p>
        </w:tc>
        <w:tc>
          <w:tcPr>
            <w:tcW w:w="986" w:type="dxa"/>
            <w:tcBorders>
              <w:top w:val="single" w:sz="24" w:space="0" w:color="FFFFFF"/>
              <w:left w:val="single" w:sz="8" w:space="0" w:color="FFFFFF"/>
              <w:bottom w:val="single" w:sz="8" w:space="0" w:color="FFFFFF"/>
              <w:right w:val="single" w:sz="8" w:space="0" w:color="FFFFFF"/>
            </w:tcBorders>
            <w:shd w:val="clear" w:color="auto" w:fill="FDE0D2"/>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48%</w:t>
            </w:r>
          </w:p>
        </w:tc>
        <w:tc>
          <w:tcPr>
            <w:tcW w:w="986" w:type="dxa"/>
            <w:tcBorders>
              <w:top w:val="single" w:sz="24" w:space="0" w:color="FFFFFF"/>
              <w:left w:val="single" w:sz="8" w:space="0" w:color="FFFFFF"/>
              <w:bottom w:val="single" w:sz="8" w:space="0" w:color="FFFFFF"/>
              <w:right w:val="single" w:sz="8" w:space="0" w:color="FFFFFF"/>
            </w:tcBorders>
            <w:shd w:val="clear" w:color="auto" w:fill="FDE0D2"/>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45%</w:t>
            </w:r>
          </w:p>
        </w:tc>
        <w:tc>
          <w:tcPr>
            <w:tcW w:w="986" w:type="dxa"/>
            <w:tcBorders>
              <w:top w:val="single" w:sz="24" w:space="0" w:color="FFFFFF"/>
              <w:left w:val="single" w:sz="8" w:space="0" w:color="FFFFFF"/>
              <w:bottom w:val="single" w:sz="8" w:space="0" w:color="FFFFFF"/>
              <w:right w:val="single" w:sz="8" w:space="0" w:color="FFFFFF"/>
            </w:tcBorders>
            <w:shd w:val="clear" w:color="auto" w:fill="FDE0D2"/>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41%</w:t>
            </w:r>
          </w:p>
        </w:tc>
      </w:tr>
      <w:tr w:rsidR="00645907" w:rsidRPr="00645907" w:rsidTr="00645907">
        <w:trPr>
          <w:trHeight w:val="19"/>
        </w:trPr>
        <w:tc>
          <w:tcPr>
            <w:tcW w:w="1349" w:type="dxa"/>
            <w:tcBorders>
              <w:top w:val="single" w:sz="8" w:space="0" w:color="FFFFFF"/>
              <w:left w:val="single" w:sz="8" w:space="0" w:color="FFFFFF"/>
              <w:bottom w:val="single" w:sz="8" w:space="0" w:color="FFFFFF"/>
              <w:right w:val="single" w:sz="8" w:space="0" w:color="FFFFFF"/>
            </w:tcBorders>
            <w:shd w:val="clear" w:color="auto" w:fill="FEF0EA"/>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 xml:space="preserve">London </w:t>
            </w:r>
          </w:p>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16/17</w:t>
            </w:r>
          </w:p>
        </w:tc>
        <w:tc>
          <w:tcPr>
            <w:tcW w:w="1201" w:type="dxa"/>
            <w:tcBorders>
              <w:top w:val="single" w:sz="8" w:space="0" w:color="FFFFFF"/>
              <w:left w:val="single" w:sz="8" w:space="0" w:color="FFFFFF"/>
              <w:bottom w:val="single" w:sz="8" w:space="0" w:color="FFFFFF"/>
              <w:right w:val="single" w:sz="8" w:space="0" w:color="FFFFFF"/>
            </w:tcBorders>
            <w:shd w:val="clear" w:color="auto" w:fill="FEF0EA"/>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30.4%</w:t>
            </w:r>
          </w:p>
        </w:tc>
        <w:tc>
          <w:tcPr>
            <w:tcW w:w="1201" w:type="dxa"/>
            <w:tcBorders>
              <w:top w:val="single" w:sz="8" w:space="0" w:color="FFFFFF"/>
              <w:left w:val="single" w:sz="8" w:space="0" w:color="FFFFFF"/>
              <w:bottom w:val="single" w:sz="8" w:space="0" w:color="FFFFFF"/>
              <w:right w:val="single" w:sz="8" w:space="0" w:color="FFFFFF"/>
            </w:tcBorders>
            <w:shd w:val="clear" w:color="auto" w:fill="FEF0EA"/>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32.5%</w:t>
            </w:r>
          </w:p>
        </w:tc>
        <w:tc>
          <w:tcPr>
            <w:tcW w:w="1796" w:type="dxa"/>
            <w:tcBorders>
              <w:top w:val="single" w:sz="8" w:space="0" w:color="FFFFFF"/>
              <w:left w:val="single" w:sz="8" w:space="0" w:color="FFFFFF"/>
              <w:bottom w:val="single" w:sz="8" w:space="0" w:color="FFFFFF"/>
              <w:right w:val="single" w:sz="8" w:space="0" w:color="FFFFFF"/>
            </w:tcBorders>
            <w:shd w:val="clear" w:color="auto" w:fill="FEF0EA"/>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n/a</w:t>
            </w:r>
          </w:p>
        </w:tc>
        <w:tc>
          <w:tcPr>
            <w:tcW w:w="986" w:type="dxa"/>
            <w:tcBorders>
              <w:top w:val="single" w:sz="8" w:space="0" w:color="FFFFFF"/>
              <w:left w:val="single" w:sz="8" w:space="0" w:color="FFFFFF"/>
              <w:bottom w:val="single" w:sz="8" w:space="0" w:color="FFFFFF"/>
              <w:right w:val="single" w:sz="8" w:space="0" w:color="FFFFFF"/>
            </w:tcBorders>
            <w:shd w:val="clear" w:color="auto" w:fill="FEF0EA"/>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45%</w:t>
            </w:r>
          </w:p>
        </w:tc>
        <w:tc>
          <w:tcPr>
            <w:tcW w:w="986" w:type="dxa"/>
            <w:tcBorders>
              <w:top w:val="single" w:sz="8" w:space="0" w:color="FFFFFF"/>
              <w:left w:val="single" w:sz="8" w:space="0" w:color="FFFFFF"/>
              <w:bottom w:val="single" w:sz="8" w:space="0" w:color="FFFFFF"/>
              <w:right w:val="single" w:sz="8" w:space="0" w:color="FFFFFF"/>
            </w:tcBorders>
            <w:shd w:val="clear" w:color="auto" w:fill="FEF0EA"/>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43%</w:t>
            </w:r>
          </w:p>
        </w:tc>
        <w:tc>
          <w:tcPr>
            <w:tcW w:w="986" w:type="dxa"/>
            <w:tcBorders>
              <w:top w:val="single" w:sz="8" w:space="0" w:color="FFFFFF"/>
              <w:left w:val="single" w:sz="8" w:space="0" w:color="FFFFFF"/>
              <w:bottom w:val="single" w:sz="8" w:space="0" w:color="FFFFFF"/>
              <w:right w:val="single" w:sz="8" w:space="0" w:color="FFFFFF"/>
            </w:tcBorders>
            <w:shd w:val="clear" w:color="auto" w:fill="FEF0EA"/>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42%</w:t>
            </w:r>
          </w:p>
        </w:tc>
        <w:tc>
          <w:tcPr>
            <w:tcW w:w="986" w:type="dxa"/>
            <w:tcBorders>
              <w:top w:val="single" w:sz="8" w:space="0" w:color="FFFFFF"/>
              <w:left w:val="single" w:sz="8" w:space="0" w:color="FFFFFF"/>
              <w:bottom w:val="single" w:sz="8" w:space="0" w:color="FFFFFF"/>
              <w:right w:val="single" w:sz="8" w:space="0" w:color="FFFFFF"/>
            </w:tcBorders>
            <w:shd w:val="clear" w:color="auto" w:fill="FEF0EA"/>
            <w:tcMar>
              <w:top w:w="72" w:type="dxa"/>
              <w:left w:w="144" w:type="dxa"/>
              <w:bottom w:w="72" w:type="dxa"/>
              <w:right w:w="144" w:type="dxa"/>
            </w:tcMar>
            <w:hideMark/>
          </w:tcPr>
          <w:p w:rsidR="00645907" w:rsidRPr="00645907" w:rsidRDefault="00645907" w:rsidP="00645907">
            <w:pPr>
              <w:rPr>
                <w:rFonts w:cs="Arial"/>
                <w:bCs w:val="0"/>
                <w:szCs w:val="24"/>
                <w:lang w:eastAsia="en-GB"/>
              </w:rPr>
            </w:pPr>
            <w:r w:rsidRPr="00645907">
              <w:rPr>
                <w:rFonts w:cs="Arial"/>
                <w:bCs w:val="0"/>
                <w:color w:val="000000" w:themeColor="dark1"/>
                <w:kern w:val="24"/>
                <w:szCs w:val="24"/>
                <w:lang w:eastAsia="en-GB"/>
              </w:rPr>
              <w:t>n/a</w:t>
            </w:r>
          </w:p>
        </w:tc>
      </w:tr>
    </w:tbl>
    <w:p w:rsidR="00645907" w:rsidRDefault="00645907" w:rsidP="00645907"/>
    <w:p w:rsidR="000A4053" w:rsidRDefault="00AE00CD" w:rsidP="00335ED1">
      <w:pPr>
        <w:spacing w:line="276" w:lineRule="auto"/>
        <w:jc w:val="center"/>
        <w:rPr>
          <w:rFonts w:cs="Arial"/>
          <w:i/>
          <w:szCs w:val="24"/>
        </w:rPr>
      </w:pPr>
      <w:r>
        <w:rPr>
          <w:rFonts w:cs="Arial"/>
          <w:i/>
          <w:szCs w:val="24"/>
        </w:rPr>
        <w:t>Figure 11</w:t>
      </w:r>
    </w:p>
    <w:p w:rsidR="00571077" w:rsidRDefault="000A4053" w:rsidP="00335ED1">
      <w:pPr>
        <w:spacing w:line="276" w:lineRule="auto"/>
        <w:jc w:val="center"/>
        <w:rPr>
          <w:rFonts w:cs="Arial"/>
          <w:i/>
          <w:szCs w:val="24"/>
        </w:rPr>
      </w:pPr>
      <w:r>
        <w:rPr>
          <w:rFonts w:cs="Arial"/>
          <w:i/>
          <w:szCs w:val="24"/>
        </w:rPr>
        <w:t xml:space="preserve">Uptake of child flu vaccination for </w:t>
      </w:r>
      <w:r w:rsidR="00E3016F">
        <w:rPr>
          <w:rFonts w:cs="Arial"/>
          <w:i/>
          <w:szCs w:val="24"/>
        </w:rPr>
        <w:t>Harrow</w:t>
      </w:r>
      <w:r>
        <w:rPr>
          <w:rFonts w:cs="Arial"/>
          <w:i/>
          <w:szCs w:val="24"/>
        </w:rPr>
        <w:t xml:space="preserve"> CCG compared to NWL, London and England for </w:t>
      </w:r>
      <w:proofErr w:type="gramStart"/>
      <w:r>
        <w:rPr>
          <w:rFonts w:cs="Arial"/>
          <w:i/>
          <w:szCs w:val="24"/>
        </w:rPr>
        <w:t>Winter</w:t>
      </w:r>
      <w:proofErr w:type="gramEnd"/>
      <w:r>
        <w:rPr>
          <w:rFonts w:cs="Arial"/>
          <w:i/>
          <w:szCs w:val="24"/>
        </w:rPr>
        <w:t xml:space="preserve"> 2017/18 (September 1</w:t>
      </w:r>
      <w:r w:rsidRPr="002E34F4">
        <w:rPr>
          <w:rFonts w:cs="Arial"/>
          <w:i/>
          <w:szCs w:val="24"/>
          <w:vertAlign w:val="superscript"/>
        </w:rPr>
        <w:t>st</w:t>
      </w:r>
      <w:r>
        <w:rPr>
          <w:rFonts w:cs="Arial"/>
          <w:i/>
          <w:szCs w:val="24"/>
        </w:rPr>
        <w:t xml:space="preserve"> 2017 – January 31</w:t>
      </w:r>
      <w:r w:rsidRPr="002E34F4">
        <w:rPr>
          <w:rFonts w:cs="Arial"/>
          <w:i/>
          <w:szCs w:val="24"/>
          <w:vertAlign w:val="superscript"/>
        </w:rPr>
        <w:t>st</w:t>
      </w:r>
      <w:r>
        <w:rPr>
          <w:rFonts w:cs="Arial"/>
          <w:i/>
          <w:szCs w:val="24"/>
        </w:rPr>
        <w:t xml:space="preserve"> 2018)</w:t>
      </w:r>
    </w:p>
    <w:tbl>
      <w:tblPr>
        <w:tblStyle w:val="ColorfulList-Accent1"/>
        <w:tblW w:w="0" w:type="auto"/>
        <w:tblLook w:val="04A0" w:firstRow="1" w:lastRow="0" w:firstColumn="1" w:lastColumn="0" w:noHBand="0" w:noVBand="1"/>
      </w:tblPr>
      <w:tblGrid>
        <w:gridCol w:w="1818"/>
        <w:gridCol w:w="1028"/>
        <w:gridCol w:w="1028"/>
        <w:gridCol w:w="1377"/>
        <w:gridCol w:w="1045"/>
        <w:gridCol w:w="1045"/>
        <w:gridCol w:w="1045"/>
        <w:gridCol w:w="894"/>
      </w:tblGrid>
      <w:tr w:rsidR="00571077" w:rsidRPr="00571077" w:rsidTr="00284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571077" w:rsidRPr="00571077" w:rsidRDefault="00571077" w:rsidP="000A4053">
            <w:pPr>
              <w:spacing w:line="276" w:lineRule="auto"/>
              <w:jc w:val="center"/>
              <w:rPr>
                <w:rFonts w:cs="Arial"/>
                <w:i/>
                <w:szCs w:val="24"/>
              </w:rPr>
            </w:pPr>
            <w:r w:rsidRPr="00571077">
              <w:rPr>
                <w:rFonts w:cs="Arial"/>
                <w:i/>
                <w:szCs w:val="24"/>
              </w:rPr>
              <w:t>CCG</w:t>
            </w:r>
          </w:p>
        </w:tc>
        <w:tc>
          <w:tcPr>
            <w:tcW w:w="1058" w:type="dxa"/>
          </w:tcPr>
          <w:p w:rsidR="00571077" w:rsidRDefault="00571077" w:rsidP="000A405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i/>
                <w:szCs w:val="24"/>
              </w:rPr>
            </w:pPr>
            <w:r>
              <w:rPr>
                <w:rFonts w:cs="Arial"/>
                <w:i/>
                <w:szCs w:val="24"/>
              </w:rPr>
              <w:t xml:space="preserve">% of </w:t>
            </w:r>
          </w:p>
          <w:p w:rsidR="00571077" w:rsidRPr="00571077" w:rsidRDefault="00571077" w:rsidP="000A405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i/>
                <w:szCs w:val="24"/>
              </w:rPr>
            </w:pPr>
            <w:r>
              <w:rPr>
                <w:rFonts w:cs="Arial"/>
                <w:i/>
                <w:szCs w:val="24"/>
              </w:rPr>
              <w:t>2 year olds</w:t>
            </w:r>
          </w:p>
        </w:tc>
        <w:tc>
          <w:tcPr>
            <w:tcW w:w="1060" w:type="dxa"/>
          </w:tcPr>
          <w:p w:rsidR="00571077" w:rsidRDefault="00571077" w:rsidP="000A405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i/>
                <w:szCs w:val="24"/>
              </w:rPr>
            </w:pPr>
            <w:r>
              <w:rPr>
                <w:rFonts w:cs="Arial"/>
                <w:i/>
                <w:szCs w:val="24"/>
              </w:rPr>
              <w:t xml:space="preserve">% of </w:t>
            </w:r>
          </w:p>
          <w:p w:rsidR="00571077" w:rsidRPr="00571077" w:rsidRDefault="00571077" w:rsidP="000A405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i/>
                <w:szCs w:val="24"/>
              </w:rPr>
            </w:pPr>
            <w:r>
              <w:rPr>
                <w:rFonts w:cs="Arial"/>
                <w:i/>
                <w:szCs w:val="24"/>
              </w:rPr>
              <w:t xml:space="preserve">3 year olds </w:t>
            </w:r>
          </w:p>
        </w:tc>
        <w:tc>
          <w:tcPr>
            <w:tcW w:w="1314" w:type="dxa"/>
          </w:tcPr>
          <w:p w:rsidR="00571077" w:rsidRPr="00571077" w:rsidRDefault="00571077" w:rsidP="0057107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i/>
                <w:szCs w:val="24"/>
              </w:rPr>
            </w:pPr>
            <w:r>
              <w:rPr>
                <w:rFonts w:cs="Arial"/>
                <w:i/>
                <w:szCs w:val="24"/>
              </w:rPr>
              <w:t xml:space="preserve">%  of Reception </w:t>
            </w:r>
          </w:p>
        </w:tc>
        <w:tc>
          <w:tcPr>
            <w:tcW w:w="1076" w:type="dxa"/>
          </w:tcPr>
          <w:p w:rsidR="00571077" w:rsidRPr="00571077" w:rsidRDefault="00571077" w:rsidP="000A405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i/>
                <w:szCs w:val="24"/>
              </w:rPr>
            </w:pPr>
            <w:r>
              <w:rPr>
                <w:rFonts w:cs="Arial"/>
                <w:i/>
                <w:szCs w:val="24"/>
              </w:rPr>
              <w:t>% of Year 1</w:t>
            </w:r>
          </w:p>
        </w:tc>
        <w:tc>
          <w:tcPr>
            <w:tcW w:w="1076" w:type="dxa"/>
          </w:tcPr>
          <w:p w:rsidR="00571077" w:rsidRPr="00571077" w:rsidRDefault="00571077" w:rsidP="000A405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i/>
                <w:szCs w:val="24"/>
              </w:rPr>
            </w:pPr>
            <w:r>
              <w:rPr>
                <w:rFonts w:cs="Arial"/>
                <w:i/>
                <w:szCs w:val="24"/>
              </w:rPr>
              <w:t>% of Year 2</w:t>
            </w:r>
          </w:p>
        </w:tc>
        <w:tc>
          <w:tcPr>
            <w:tcW w:w="1076" w:type="dxa"/>
          </w:tcPr>
          <w:p w:rsidR="00571077" w:rsidRPr="00571077" w:rsidRDefault="00571077" w:rsidP="000A405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i/>
                <w:szCs w:val="24"/>
              </w:rPr>
            </w:pPr>
            <w:r>
              <w:rPr>
                <w:rFonts w:cs="Arial"/>
                <w:i/>
                <w:szCs w:val="24"/>
              </w:rPr>
              <w:t>% of Year 3</w:t>
            </w:r>
          </w:p>
        </w:tc>
        <w:tc>
          <w:tcPr>
            <w:tcW w:w="910" w:type="dxa"/>
          </w:tcPr>
          <w:p w:rsidR="00571077" w:rsidRDefault="00571077" w:rsidP="0057107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i/>
                <w:szCs w:val="24"/>
              </w:rPr>
            </w:pPr>
            <w:r>
              <w:rPr>
                <w:rFonts w:cs="Arial"/>
                <w:i/>
                <w:szCs w:val="24"/>
              </w:rPr>
              <w:t>% of Year 4</w:t>
            </w:r>
          </w:p>
        </w:tc>
      </w:tr>
      <w:tr w:rsidR="00571077" w:rsidRPr="00571077" w:rsidTr="00284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571077" w:rsidRPr="00571077" w:rsidRDefault="007B756E" w:rsidP="00571077">
            <w:pPr>
              <w:spacing w:line="276" w:lineRule="auto"/>
              <w:rPr>
                <w:rFonts w:cs="Arial"/>
                <w:szCs w:val="24"/>
              </w:rPr>
            </w:pPr>
            <w:r>
              <w:rPr>
                <w:rFonts w:cs="Arial"/>
                <w:szCs w:val="24"/>
              </w:rPr>
              <w:t>Brent</w:t>
            </w:r>
          </w:p>
        </w:tc>
        <w:tc>
          <w:tcPr>
            <w:tcW w:w="1058"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29.7</w:t>
            </w:r>
          </w:p>
        </w:tc>
        <w:tc>
          <w:tcPr>
            <w:tcW w:w="1060"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31.2</w:t>
            </w:r>
          </w:p>
        </w:tc>
        <w:tc>
          <w:tcPr>
            <w:tcW w:w="1314"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30.5</w:t>
            </w:r>
          </w:p>
        </w:tc>
        <w:tc>
          <w:tcPr>
            <w:tcW w:w="1076"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30.5</w:t>
            </w:r>
          </w:p>
        </w:tc>
        <w:tc>
          <w:tcPr>
            <w:tcW w:w="1076"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24.2</w:t>
            </w:r>
          </w:p>
        </w:tc>
        <w:tc>
          <w:tcPr>
            <w:tcW w:w="1076"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22.6</w:t>
            </w:r>
          </w:p>
        </w:tc>
        <w:tc>
          <w:tcPr>
            <w:tcW w:w="910"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22.1</w:t>
            </w:r>
          </w:p>
        </w:tc>
      </w:tr>
      <w:tr w:rsidR="00571077" w:rsidRPr="00571077" w:rsidTr="00284BDE">
        <w:tc>
          <w:tcPr>
            <w:cnfStyle w:val="001000000000" w:firstRow="0" w:lastRow="0" w:firstColumn="1" w:lastColumn="0" w:oddVBand="0" w:evenVBand="0" w:oddHBand="0" w:evenHBand="0" w:firstRowFirstColumn="0" w:firstRowLastColumn="0" w:lastRowFirstColumn="0" w:lastRowLastColumn="0"/>
            <w:tcW w:w="1710" w:type="dxa"/>
          </w:tcPr>
          <w:p w:rsidR="00571077" w:rsidRPr="00571077" w:rsidRDefault="00571077" w:rsidP="00571077">
            <w:pPr>
              <w:spacing w:line="276" w:lineRule="auto"/>
              <w:rPr>
                <w:rFonts w:cs="Arial"/>
                <w:szCs w:val="24"/>
              </w:rPr>
            </w:pPr>
            <w:r w:rsidRPr="00571077">
              <w:rPr>
                <w:rFonts w:cs="Arial"/>
                <w:szCs w:val="24"/>
              </w:rPr>
              <w:t>Central London  (Westminster)</w:t>
            </w:r>
          </w:p>
        </w:tc>
        <w:tc>
          <w:tcPr>
            <w:tcW w:w="1058" w:type="dxa"/>
          </w:tcPr>
          <w:p w:rsidR="00571077" w:rsidRPr="00571077" w:rsidRDefault="00571077"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27.7</w:t>
            </w:r>
          </w:p>
        </w:tc>
        <w:tc>
          <w:tcPr>
            <w:tcW w:w="1060" w:type="dxa"/>
          </w:tcPr>
          <w:p w:rsidR="00571077" w:rsidRPr="00571077" w:rsidRDefault="00571077"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25</w:t>
            </w:r>
          </w:p>
        </w:tc>
        <w:tc>
          <w:tcPr>
            <w:tcW w:w="1314" w:type="dxa"/>
          </w:tcPr>
          <w:p w:rsidR="00571077" w:rsidRPr="00571077" w:rsidRDefault="00571077"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51.3</w:t>
            </w:r>
          </w:p>
        </w:tc>
        <w:tc>
          <w:tcPr>
            <w:tcW w:w="1076" w:type="dxa"/>
          </w:tcPr>
          <w:p w:rsidR="00571077" w:rsidRPr="00571077" w:rsidRDefault="00571077"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46.9</w:t>
            </w:r>
          </w:p>
        </w:tc>
        <w:tc>
          <w:tcPr>
            <w:tcW w:w="1076" w:type="dxa"/>
          </w:tcPr>
          <w:p w:rsidR="00571077" w:rsidRPr="00571077" w:rsidRDefault="00571077"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45.7</w:t>
            </w:r>
          </w:p>
        </w:tc>
        <w:tc>
          <w:tcPr>
            <w:tcW w:w="1076" w:type="dxa"/>
          </w:tcPr>
          <w:p w:rsidR="00571077" w:rsidRPr="00571077" w:rsidRDefault="00571077"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32.6</w:t>
            </w:r>
          </w:p>
        </w:tc>
        <w:tc>
          <w:tcPr>
            <w:tcW w:w="910" w:type="dxa"/>
          </w:tcPr>
          <w:p w:rsidR="00571077" w:rsidRPr="00571077" w:rsidRDefault="00571077"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37.1</w:t>
            </w:r>
          </w:p>
        </w:tc>
      </w:tr>
      <w:tr w:rsidR="00571077" w:rsidRPr="00571077" w:rsidTr="00284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571077" w:rsidRDefault="005C5EAF" w:rsidP="00571077">
            <w:pPr>
              <w:spacing w:line="276" w:lineRule="auto"/>
              <w:rPr>
                <w:rFonts w:cs="Arial"/>
                <w:szCs w:val="24"/>
              </w:rPr>
            </w:pPr>
            <w:r>
              <w:rPr>
                <w:rFonts w:cs="Arial"/>
                <w:szCs w:val="24"/>
              </w:rPr>
              <w:t>Ealing</w:t>
            </w:r>
          </w:p>
          <w:p w:rsidR="005C5EAF" w:rsidRPr="00571077" w:rsidRDefault="005C5EAF" w:rsidP="00571077">
            <w:pPr>
              <w:spacing w:line="276" w:lineRule="auto"/>
              <w:rPr>
                <w:rFonts w:cs="Arial"/>
                <w:szCs w:val="24"/>
              </w:rPr>
            </w:pPr>
          </w:p>
        </w:tc>
        <w:tc>
          <w:tcPr>
            <w:tcW w:w="1058"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35.9</w:t>
            </w:r>
          </w:p>
        </w:tc>
        <w:tc>
          <w:tcPr>
            <w:tcW w:w="1060"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33.8</w:t>
            </w:r>
          </w:p>
        </w:tc>
        <w:tc>
          <w:tcPr>
            <w:tcW w:w="1314"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38.6</w:t>
            </w:r>
          </w:p>
        </w:tc>
        <w:tc>
          <w:tcPr>
            <w:tcW w:w="1076"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35.4</w:t>
            </w:r>
          </w:p>
        </w:tc>
        <w:tc>
          <w:tcPr>
            <w:tcW w:w="1076"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32.3</w:t>
            </w:r>
          </w:p>
        </w:tc>
        <w:tc>
          <w:tcPr>
            <w:tcW w:w="1076"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30.1</w:t>
            </w:r>
          </w:p>
        </w:tc>
        <w:tc>
          <w:tcPr>
            <w:tcW w:w="910"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27.4</w:t>
            </w:r>
          </w:p>
        </w:tc>
      </w:tr>
      <w:tr w:rsidR="00571077" w:rsidRPr="00571077" w:rsidTr="00284BDE">
        <w:tc>
          <w:tcPr>
            <w:cnfStyle w:val="001000000000" w:firstRow="0" w:lastRow="0" w:firstColumn="1" w:lastColumn="0" w:oddVBand="0" w:evenVBand="0" w:oddHBand="0" w:evenHBand="0" w:firstRowFirstColumn="0" w:firstRowLastColumn="0" w:lastRowFirstColumn="0" w:lastRowLastColumn="0"/>
            <w:tcW w:w="1710" w:type="dxa"/>
          </w:tcPr>
          <w:p w:rsidR="00571077" w:rsidRPr="00571077" w:rsidRDefault="00571077" w:rsidP="00571077">
            <w:pPr>
              <w:spacing w:line="276" w:lineRule="auto"/>
              <w:rPr>
                <w:rFonts w:cs="Arial"/>
                <w:szCs w:val="24"/>
              </w:rPr>
            </w:pPr>
            <w:r>
              <w:rPr>
                <w:rFonts w:cs="Arial"/>
                <w:szCs w:val="24"/>
              </w:rPr>
              <w:t>Hammersmith &amp; Fulham</w:t>
            </w:r>
          </w:p>
        </w:tc>
        <w:tc>
          <w:tcPr>
            <w:tcW w:w="1058"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32.3</w:t>
            </w:r>
          </w:p>
        </w:tc>
        <w:tc>
          <w:tcPr>
            <w:tcW w:w="1060"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31.7</w:t>
            </w:r>
          </w:p>
        </w:tc>
        <w:tc>
          <w:tcPr>
            <w:tcW w:w="1314"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49.5</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41.2</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43.3</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43.3</w:t>
            </w:r>
          </w:p>
        </w:tc>
        <w:tc>
          <w:tcPr>
            <w:tcW w:w="910"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37.8</w:t>
            </w:r>
          </w:p>
        </w:tc>
      </w:tr>
      <w:tr w:rsidR="00571077" w:rsidRPr="00571077" w:rsidTr="00284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571077" w:rsidRPr="00571077" w:rsidRDefault="00571077" w:rsidP="00571077">
            <w:pPr>
              <w:spacing w:line="276" w:lineRule="auto"/>
              <w:rPr>
                <w:rFonts w:cs="Arial"/>
                <w:szCs w:val="24"/>
              </w:rPr>
            </w:pPr>
            <w:r>
              <w:rPr>
                <w:rFonts w:cs="Arial"/>
                <w:szCs w:val="24"/>
              </w:rPr>
              <w:lastRenderedPageBreak/>
              <w:t>Harrow</w:t>
            </w:r>
          </w:p>
        </w:tc>
        <w:tc>
          <w:tcPr>
            <w:tcW w:w="1058"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25.2</w:t>
            </w:r>
          </w:p>
        </w:tc>
        <w:tc>
          <w:tcPr>
            <w:tcW w:w="1060"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29.5</w:t>
            </w:r>
          </w:p>
        </w:tc>
        <w:tc>
          <w:tcPr>
            <w:tcW w:w="1314"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56.6</w:t>
            </w:r>
          </w:p>
        </w:tc>
        <w:tc>
          <w:tcPr>
            <w:tcW w:w="1076"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54.8</w:t>
            </w:r>
          </w:p>
        </w:tc>
        <w:tc>
          <w:tcPr>
            <w:tcW w:w="1076"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53.8</w:t>
            </w:r>
          </w:p>
        </w:tc>
        <w:tc>
          <w:tcPr>
            <w:tcW w:w="1076"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50.1</w:t>
            </w:r>
          </w:p>
        </w:tc>
        <w:tc>
          <w:tcPr>
            <w:tcW w:w="910"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49.8</w:t>
            </w:r>
          </w:p>
        </w:tc>
      </w:tr>
      <w:tr w:rsidR="00571077" w:rsidRPr="00571077" w:rsidTr="00284BDE">
        <w:tc>
          <w:tcPr>
            <w:cnfStyle w:val="001000000000" w:firstRow="0" w:lastRow="0" w:firstColumn="1" w:lastColumn="0" w:oddVBand="0" w:evenVBand="0" w:oddHBand="0" w:evenHBand="0" w:firstRowFirstColumn="0" w:firstRowLastColumn="0" w:lastRowFirstColumn="0" w:lastRowLastColumn="0"/>
            <w:tcW w:w="1710" w:type="dxa"/>
          </w:tcPr>
          <w:p w:rsidR="00571077" w:rsidRPr="00571077" w:rsidRDefault="00571077" w:rsidP="00571077">
            <w:pPr>
              <w:spacing w:line="276" w:lineRule="auto"/>
              <w:rPr>
                <w:rFonts w:cs="Arial"/>
                <w:szCs w:val="24"/>
              </w:rPr>
            </w:pPr>
            <w:r>
              <w:rPr>
                <w:rFonts w:cs="Arial"/>
                <w:szCs w:val="24"/>
              </w:rPr>
              <w:t>Hillingdon</w:t>
            </w:r>
          </w:p>
        </w:tc>
        <w:tc>
          <w:tcPr>
            <w:tcW w:w="1058" w:type="dxa"/>
          </w:tcPr>
          <w:p w:rsidR="00571077" w:rsidRPr="00571077" w:rsidRDefault="00571077"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31.9</w:t>
            </w:r>
          </w:p>
        </w:tc>
        <w:tc>
          <w:tcPr>
            <w:tcW w:w="1060" w:type="dxa"/>
          </w:tcPr>
          <w:p w:rsidR="00571077" w:rsidRPr="00571077" w:rsidRDefault="00571077"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33</w:t>
            </w:r>
          </w:p>
        </w:tc>
        <w:tc>
          <w:tcPr>
            <w:tcW w:w="1314"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49.1</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50.3</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47.5</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47</w:t>
            </w:r>
          </w:p>
        </w:tc>
        <w:tc>
          <w:tcPr>
            <w:tcW w:w="910"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41.2</w:t>
            </w:r>
          </w:p>
        </w:tc>
      </w:tr>
      <w:tr w:rsidR="00571077" w:rsidRPr="00571077" w:rsidTr="00284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571077" w:rsidRPr="00571077" w:rsidRDefault="00571077" w:rsidP="00571077">
            <w:pPr>
              <w:spacing w:line="276" w:lineRule="auto"/>
              <w:rPr>
                <w:rFonts w:cs="Arial"/>
                <w:szCs w:val="24"/>
              </w:rPr>
            </w:pPr>
            <w:r>
              <w:rPr>
                <w:rFonts w:cs="Arial"/>
                <w:szCs w:val="24"/>
              </w:rPr>
              <w:t>Hounslow</w:t>
            </w:r>
          </w:p>
        </w:tc>
        <w:tc>
          <w:tcPr>
            <w:tcW w:w="1058"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30.8</w:t>
            </w:r>
          </w:p>
        </w:tc>
        <w:tc>
          <w:tcPr>
            <w:tcW w:w="1060"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31.1</w:t>
            </w:r>
          </w:p>
        </w:tc>
        <w:tc>
          <w:tcPr>
            <w:tcW w:w="1314"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55.1</w:t>
            </w:r>
          </w:p>
        </w:tc>
        <w:tc>
          <w:tcPr>
            <w:tcW w:w="1076"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53</w:t>
            </w:r>
          </w:p>
        </w:tc>
        <w:tc>
          <w:tcPr>
            <w:tcW w:w="1076"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59.9</w:t>
            </w:r>
          </w:p>
        </w:tc>
        <w:tc>
          <w:tcPr>
            <w:tcW w:w="1076"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47.7</w:t>
            </w:r>
          </w:p>
        </w:tc>
        <w:tc>
          <w:tcPr>
            <w:tcW w:w="910"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45.8</w:t>
            </w:r>
          </w:p>
        </w:tc>
      </w:tr>
      <w:tr w:rsidR="00571077" w:rsidRPr="00571077" w:rsidTr="00284BDE">
        <w:tc>
          <w:tcPr>
            <w:cnfStyle w:val="001000000000" w:firstRow="0" w:lastRow="0" w:firstColumn="1" w:lastColumn="0" w:oddVBand="0" w:evenVBand="0" w:oddHBand="0" w:evenHBand="0" w:firstRowFirstColumn="0" w:firstRowLastColumn="0" w:lastRowFirstColumn="0" w:lastRowLastColumn="0"/>
            <w:tcW w:w="1710" w:type="dxa"/>
          </w:tcPr>
          <w:p w:rsidR="00571077" w:rsidRPr="00571077" w:rsidRDefault="00571077" w:rsidP="00571077">
            <w:pPr>
              <w:spacing w:line="276" w:lineRule="auto"/>
              <w:rPr>
                <w:rFonts w:cs="Arial"/>
                <w:szCs w:val="24"/>
              </w:rPr>
            </w:pPr>
            <w:r>
              <w:rPr>
                <w:rFonts w:cs="Arial"/>
                <w:szCs w:val="24"/>
              </w:rPr>
              <w:t>Kensington &amp; Chelsea</w:t>
            </w:r>
          </w:p>
        </w:tc>
        <w:tc>
          <w:tcPr>
            <w:tcW w:w="1058" w:type="dxa"/>
          </w:tcPr>
          <w:p w:rsidR="00571077" w:rsidRPr="00571077" w:rsidRDefault="00571077"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28.1</w:t>
            </w:r>
          </w:p>
        </w:tc>
        <w:tc>
          <w:tcPr>
            <w:tcW w:w="1060"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26</w:t>
            </w:r>
          </w:p>
        </w:tc>
        <w:tc>
          <w:tcPr>
            <w:tcW w:w="1314"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43.4</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40.4</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45.8</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40.1</w:t>
            </w:r>
          </w:p>
        </w:tc>
        <w:tc>
          <w:tcPr>
            <w:tcW w:w="910"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42.1</w:t>
            </w:r>
          </w:p>
        </w:tc>
      </w:tr>
      <w:tr w:rsidR="00571077" w:rsidRPr="00571077" w:rsidTr="00284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571077" w:rsidRPr="00571077" w:rsidRDefault="00571077" w:rsidP="00571077">
            <w:pPr>
              <w:spacing w:line="276" w:lineRule="auto"/>
              <w:rPr>
                <w:rFonts w:cs="Arial"/>
                <w:szCs w:val="24"/>
              </w:rPr>
            </w:pPr>
            <w:r>
              <w:rPr>
                <w:rFonts w:cs="Arial"/>
                <w:szCs w:val="24"/>
              </w:rPr>
              <w:t>London</w:t>
            </w:r>
          </w:p>
        </w:tc>
        <w:tc>
          <w:tcPr>
            <w:tcW w:w="1058" w:type="dxa"/>
          </w:tcPr>
          <w:p w:rsidR="00571077" w:rsidRPr="00571077" w:rsidRDefault="00571077"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33.2</w:t>
            </w:r>
          </w:p>
        </w:tc>
        <w:tc>
          <w:tcPr>
            <w:tcW w:w="1060"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33.3</w:t>
            </w:r>
          </w:p>
        </w:tc>
        <w:tc>
          <w:tcPr>
            <w:tcW w:w="1314"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51.6</w:t>
            </w:r>
          </w:p>
        </w:tc>
        <w:tc>
          <w:tcPr>
            <w:tcW w:w="1076"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49.6</w:t>
            </w:r>
          </w:p>
        </w:tc>
        <w:tc>
          <w:tcPr>
            <w:tcW w:w="1076"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48.2</w:t>
            </w:r>
          </w:p>
        </w:tc>
        <w:tc>
          <w:tcPr>
            <w:tcW w:w="1076"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45.6</w:t>
            </w:r>
          </w:p>
        </w:tc>
        <w:tc>
          <w:tcPr>
            <w:tcW w:w="910" w:type="dxa"/>
          </w:tcPr>
          <w:p w:rsidR="00571077" w:rsidRPr="00571077" w:rsidRDefault="00284BDE" w:rsidP="00571077">
            <w:pPr>
              <w:spacing w:line="276"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43.8</w:t>
            </w:r>
          </w:p>
        </w:tc>
      </w:tr>
      <w:tr w:rsidR="00571077" w:rsidRPr="00571077" w:rsidTr="00284BDE">
        <w:tc>
          <w:tcPr>
            <w:cnfStyle w:val="001000000000" w:firstRow="0" w:lastRow="0" w:firstColumn="1" w:lastColumn="0" w:oddVBand="0" w:evenVBand="0" w:oddHBand="0" w:evenHBand="0" w:firstRowFirstColumn="0" w:firstRowLastColumn="0" w:lastRowFirstColumn="0" w:lastRowLastColumn="0"/>
            <w:tcW w:w="1710" w:type="dxa"/>
          </w:tcPr>
          <w:p w:rsidR="00571077" w:rsidRPr="00571077" w:rsidRDefault="00571077" w:rsidP="00571077">
            <w:pPr>
              <w:spacing w:line="276" w:lineRule="auto"/>
              <w:rPr>
                <w:rFonts w:cs="Arial"/>
                <w:szCs w:val="24"/>
              </w:rPr>
            </w:pPr>
            <w:r>
              <w:rPr>
                <w:rFonts w:cs="Arial"/>
                <w:szCs w:val="24"/>
              </w:rPr>
              <w:t>England</w:t>
            </w:r>
          </w:p>
        </w:tc>
        <w:tc>
          <w:tcPr>
            <w:tcW w:w="1058" w:type="dxa"/>
          </w:tcPr>
          <w:p w:rsidR="00571077" w:rsidRPr="00571077" w:rsidRDefault="00571077"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42.8</w:t>
            </w:r>
          </w:p>
        </w:tc>
        <w:tc>
          <w:tcPr>
            <w:tcW w:w="1060"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44.7</w:t>
            </w:r>
          </w:p>
        </w:tc>
        <w:tc>
          <w:tcPr>
            <w:tcW w:w="1314"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62.6</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61</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60.4</w:t>
            </w:r>
          </w:p>
        </w:tc>
        <w:tc>
          <w:tcPr>
            <w:tcW w:w="1076"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57.6</w:t>
            </w:r>
          </w:p>
        </w:tc>
        <w:tc>
          <w:tcPr>
            <w:tcW w:w="910" w:type="dxa"/>
          </w:tcPr>
          <w:p w:rsidR="00571077" w:rsidRPr="00571077" w:rsidRDefault="00284BDE" w:rsidP="00571077">
            <w:pPr>
              <w:spacing w:line="276"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55.8</w:t>
            </w:r>
          </w:p>
        </w:tc>
      </w:tr>
    </w:tbl>
    <w:p w:rsidR="00571077" w:rsidRDefault="00571077" w:rsidP="000A4053">
      <w:pPr>
        <w:spacing w:line="276" w:lineRule="auto"/>
        <w:jc w:val="center"/>
        <w:rPr>
          <w:rFonts w:cs="Arial"/>
          <w:i/>
          <w:szCs w:val="24"/>
        </w:rPr>
      </w:pPr>
    </w:p>
    <w:p w:rsidR="000A4053" w:rsidRPr="002E34F4" w:rsidRDefault="00284BDE" w:rsidP="000A4053">
      <w:pPr>
        <w:jc w:val="right"/>
        <w:rPr>
          <w:i/>
        </w:rPr>
      </w:pPr>
      <w:r>
        <w:rPr>
          <w:i/>
        </w:rPr>
        <w:t>S</w:t>
      </w:r>
      <w:r w:rsidR="000A4053">
        <w:rPr>
          <w:i/>
        </w:rPr>
        <w:t>ource: PHE (2018)</w:t>
      </w:r>
    </w:p>
    <w:p w:rsidR="000A4053" w:rsidRPr="00645907" w:rsidRDefault="000A4053" w:rsidP="00645907"/>
    <w:p w:rsidR="00E02A0B" w:rsidRDefault="00E02A0B" w:rsidP="00E02A0B">
      <w:pPr>
        <w:pStyle w:val="Heading2"/>
      </w:pPr>
      <w:bookmarkStart w:id="14" w:name="_Toc531010366"/>
      <w:r>
        <w:t>What are we doing to increase uptake of COVER?</w:t>
      </w:r>
      <w:bookmarkEnd w:id="14"/>
    </w:p>
    <w:p w:rsidR="00E02A0B" w:rsidRDefault="00E02A0B" w:rsidP="00E02A0B">
      <w:pPr>
        <w:rPr>
          <w:b/>
        </w:rPr>
      </w:pPr>
    </w:p>
    <w:p w:rsidR="00E02A0B" w:rsidRPr="00174C63" w:rsidRDefault="00E3016F" w:rsidP="00815046">
      <w:pPr>
        <w:pStyle w:val="ListParagraph"/>
        <w:numPr>
          <w:ilvl w:val="0"/>
          <w:numId w:val="17"/>
        </w:numPr>
        <w:jc w:val="both"/>
        <w:rPr>
          <w:rFonts w:cs="Arial"/>
          <w:i/>
          <w:szCs w:val="24"/>
        </w:rPr>
      </w:pPr>
      <w:r w:rsidRPr="00664145">
        <w:t>Harrow</w:t>
      </w:r>
      <w:r w:rsidR="00E02A0B" w:rsidRPr="00664145">
        <w:t xml:space="preserve"> like other London boroughs performs below England averages for completed routine childhood immunisations as indicated by MMR 2nd dose and preschool booster.</w:t>
      </w:r>
      <w:r w:rsidR="00E02A0B">
        <w:t xml:space="preserve">  This is also below the recommended WHO 95% recommended uptake levels.  Improving uptake rates in </w:t>
      </w:r>
      <w:r>
        <w:t>Harrow</w:t>
      </w:r>
      <w:r w:rsidR="00E02A0B">
        <w:t xml:space="preserve"> is being undertaken by pan London endeavours as well as local borough partnership work between CCG, local authority, PHE and NHSE London.  </w:t>
      </w:r>
    </w:p>
    <w:p w:rsidR="00E02A0B" w:rsidRPr="00183961" w:rsidRDefault="00E02A0B" w:rsidP="00815046">
      <w:pPr>
        <w:pStyle w:val="ListParagraph"/>
        <w:numPr>
          <w:ilvl w:val="0"/>
          <w:numId w:val="17"/>
        </w:numPr>
        <w:jc w:val="both"/>
        <w:rPr>
          <w:rFonts w:cs="Arial"/>
          <w:i/>
          <w:szCs w:val="24"/>
        </w:rPr>
      </w:pPr>
      <w:r>
        <w:t>Increasing coverage and uptake of the COVER reported vaccinations to the recommended 95% levels is a complex task.  Under the London Immunisation Board, PHE and NHSE (London) have been working together to improve quality of vaccination services, increasing access, managing vaccine incidents and improving information management, such as better data linkages between Child Health Information Systems (CHIS) and GP systems.  As well as these pan London approaches, NHSE (London) have been working locally with PHE health protection teams, CCGs and local public health teams in local authorities to identify local barriers and vulnerable or underserved groups (e.g. travelling community) and to work together to improve public acceptability and  access and thereby increase vaccine uptake.</w:t>
      </w:r>
    </w:p>
    <w:p w:rsidR="00E02A0B" w:rsidRPr="00183961" w:rsidRDefault="00E02A0B" w:rsidP="00815046">
      <w:pPr>
        <w:pStyle w:val="ListParagraph"/>
        <w:numPr>
          <w:ilvl w:val="0"/>
          <w:numId w:val="17"/>
        </w:numPr>
        <w:jc w:val="both"/>
        <w:rPr>
          <w:rFonts w:cs="Arial"/>
          <w:i/>
          <w:szCs w:val="24"/>
        </w:rPr>
      </w:pPr>
      <w:r>
        <w:t xml:space="preserve">The London wide Immunisation Plan for 2017/18 included sub-sets of plans such as improving parental invites/reminders across London, which the evidence repeatedly states as the main contributor to improving uptake of </w:t>
      </w:r>
      <w:r w:rsidR="00284BDE">
        <w:t xml:space="preserve">0-5s </w:t>
      </w:r>
      <w:r w:rsidR="00AE00CD">
        <w:t>vaccinations (see figure 12</w:t>
      </w:r>
      <w:r>
        <w:t>).  A census of London’s 1401 GP practices resulted in the production of 0-5s call/recall best practice pathway and a 0-5s best practice pathway.  Under the London Immunisation Partnership PHE and NHSE (London) are evaluating the impact of these pathways over the next few months.</w:t>
      </w:r>
    </w:p>
    <w:p w:rsidR="00E02A0B" w:rsidRPr="0079347A" w:rsidRDefault="00E02A0B" w:rsidP="00815046">
      <w:pPr>
        <w:pStyle w:val="ListParagraph"/>
        <w:numPr>
          <w:ilvl w:val="0"/>
          <w:numId w:val="17"/>
        </w:numPr>
        <w:jc w:val="both"/>
        <w:rPr>
          <w:rFonts w:cs="Arial"/>
          <w:i/>
          <w:szCs w:val="24"/>
        </w:rPr>
      </w:pPr>
      <w:r>
        <w:t>An evaluation of the 300 practices in London last year in relation to improving uptake of COVER reported vaccinations also concluded that practices need support around information materials to discuss with parents which the NHSE (London) immunisation team are addressing in conjunction with our PHE colleagues.</w:t>
      </w:r>
    </w:p>
    <w:p w:rsidR="00335ED1" w:rsidRDefault="00E02A0B" w:rsidP="00815046">
      <w:pPr>
        <w:pStyle w:val="ListParagraph"/>
        <w:numPr>
          <w:ilvl w:val="0"/>
          <w:numId w:val="17"/>
        </w:numPr>
        <w:jc w:val="both"/>
        <w:rPr>
          <w:rFonts w:cs="Arial"/>
          <w:szCs w:val="24"/>
        </w:rPr>
      </w:pPr>
      <w:r w:rsidRPr="00174C63">
        <w:rPr>
          <w:rFonts w:cs="Arial"/>
          <w:szCs w:val="24"/>
        </w:rPr>
        <w:t xml:space="preserve">Since April 2017, London’s child health information systems (CHIS) are being provided by four hubs which feed a single data platform.  This has simplified the </w:t>
      </w:r>
      <w:r>
        <w:rPr>
          <w:rFonts w:cs="Arial"/>
          <w:szCs w:val="24"/>
        </w:rPr>
        <w:t xml:space="preserve">barriers previously experienced by London have a large number of different data systems ‘talking to each other’.  Now all CHIS information is on one system fed by three data linkage systems from GP practices, which in turn are now on one of three systems. This change should remove many of the </w:t>
      </w:r>
      <w:r>
        <w:rPr>
          <w:rFonts w:cs="Arial"/>
          <w:szCs w:val="24"/>
        </w:rPr>
        <w:lastRenderedPageBreak/>
        <w:t xml:space="preserve">data errors in the past that had led to an overestimation of unvaccinated children.  However, London continues to have a large proportion of children vaccinated overseas which often means that children are reported as unvaccinated when they have been vaccinated but on a different schedule.  Work is underway to help GPs code the vaccinations of these new patients.   </w:t>
      </w:r>
    </w:p>
    <w:p w:rsidR="00335ED1" w:rsidRPr="00335ED1" w:rsidRDefault="00335ED1" w:rsidP="00335ED1">
      <w:pPr>
        <w:ind w:left="360"/>
        <w:jc w:val="both"/>
        <w:rPr>
          <w:rFonts w:cs="Arial"/>
          <w:szCs w:val="24"/>
        </w:rPr>
      </w:pPr>
    </w:p>
    <w:p w:rsidR="00E02A0B" w:rsidRPr="00335ED1" w:rsidRDefault="00E02A0B" w:rsidP="00335ED1">
      <w:pPr>
        <w:pStyle w:val="ListParagraph"/>
        <w:jc w:val="center"/>
        <w:rPr>
          <w:rFonts w:cs="Arial"/>
          <w:szCs w:val="24"/>
        </w:rPr>
      </w:pPr>
      <w:r w:rsidRPr="00335ED1">
        <w:rPr>
          <w:rFonts w:cs="Arial"/>
          <w:i/>
          <w:szCs w:val="24"/>
        </w:rPr>
        <w:t>Figure 1</w:t>
      </w:r>
      <w:r w:rsidR="00AE00CD">
        <w:rPr>
          <w:rFonts w:cs="Arial"/>
          <w:i/>
          <w:szCs w:val="24"/>
        </w:rPr>
        <w:t>2</w:t>
      </w:r>
    </w:p>
    <w:p w:rsidR="00E02A0B" w:rsidRDefault="00E02A0B" w:rsidP="00335ED1">
      <w:pPr>
        <w:jc w:val="center"/>
        <w:rPr>
          <w:rFonts w:cs="Arial"/>
          <w:i/>
          <w:szCs w:val="24"/>
        </w:rPr>
      </w:pPr>
      <w:r>
        <w:rPr>
          <w:rFonts w:cs="Arial"/>
          <w:i/>
          <w:szCs w:val="24"/>
        </w:rPr>
        <w:t>Infographic of action plan to</w:t>
      </w:r>
      <w:r w:rsidRPr="000423B5">
        <w:rPr>
          <w:rFonts w:cs="Arial"/>
          <w:i/>
          <w:szCs w:val="24"/>
        </w:rPr>
        <w:t xml:space="preserve"> improve immunisation coverage by working in partnership on each of the four areas below</w:t>
      </w:r>
    </w:p>
    <w:p w:rsidR="00335ED1" w:rsidRDefault="00335ED1" w:rsidP="00335ED1">
      <w:pPr>
        <w:jc w:val="center"/>
        <w:rPr>
          <w:rFonts w:cs="Arial"/>
          <w:i/>
          <w:szCs w:val="24"/>
        </w:rPr>
      </w:pPr>
    </w:p>
    <w:p w:rsidR="00E02A0B" w:rsidRPr="000423B5" w:rsidRDefault="00E02A0B" w:rsidP="00E02A0B">
      <w:pPr>
        <w:jc w:val="center"/>
        <w:rPr>
          <w:rFonts w:cs="Arial"/>
          <w:i/>
          <w:szCs w:val="24"/>
        </w:rPr>
      </w:pPr>
      <w:r>
        <w:rPr>
          <w:rFonts w:cs="Arial"/>
          <w:noProof/>
          <w:lang w:eastAsia="en-GB"/>
        </w:rPr>
        <w:drawing>
          <wp:inline distT="0" distB="0" distL="0" distR="0" wp14:anchorId="3566903F" wp14:editId="3AB8A43E">
            <wp:extent cx="4311012" cy="2544793"/>
            <wp:effectExtent l="0" t="0" r="0" b="825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11012" cy="2544793"/>
                    </a:xfrm>
                    <a:prstGeom prst="rect">
                      <a:avLst/>
                    </a:prstGeom>
                    <a:noFill/>
                  </pic:spPr>
                </pic:pic>
              </a:graphicData>
            </a:graphic>
          </wp:inline>
        </w:drawing>
      </w:r>
      <w:r>
        <w:rPr>
          <w:rFonts w:cs="Arial"/>
        </w:rPr>
        <w:br w:type="page"/>
      </w:r>
    </w:p>
    <w:p w:rsidR="0022158B" w:rsidRDefault="0022158B" w:rsidP="00C01C87">
      <w:pPr>
        <w:jc w:val="both"/>
        <w:rPr>
          <w:rFonts w:cs="Arial"/>
          <w:szCs w:val="24"/>
        </w:rPr>
      </w:pPr>
    </w:p>
    <w:p w:rsidR="0022158B" w:rsidRDefault="00C01C87" w:rsidP="0022158B">
      <w:pPr>
        <w:pStyle w:val="Heading1"/>
      </w:pPr>
      <w:bookmarkStart w:id="15" w:name="_Toc531010367"/>
      <w:r>
        <w:t>School Age Vaccinations</w:t>
      </w:r>
      <w:bookmarkEnd w:id="15"/>
    </w:p>
    <w:p w:rsidR="00C01C87" w:rsidRDefault="00C01C87" w:rsidP="00C01C87"/>
    <w:p w:rsidR="00E02A0B" w:rsidRDefault="00E02A0B" w:rsidP="00815046">
      <w:pPr>
        <w:pStyle w:val="ListParagraph"/>
        <w:numPr>
          <w:ilvl w:val="0"/>
          <w:numId w:val="49"/>
        </w:numPr>
        <w:jc w:val="both"/>
      </w:pPr>
      <w:r>
        <w:t>School Age vaccinations consist of :</w:t>
      </w:r>
    </w:p>
    <w:p w:rsidR="008B63E1" w:rsidRDefault="008B63E1" w:rsidP="008B63E1">
      <w:pPr>
        <w:pStyle w:val="ListParagraph"/>
        <w:jc w:val="both"/>
      </w:pPr>
    </w:p>
    <w:p w:rsidR="00E02A0B" w:rsidRDefault="006F4CDF" w:rsidP="00815046">
      <w:pPr>
        <w:pStyle w:val="ListParagraph"/>
        <w:numPr>
          <w:ilvl w:val="1"/>
          <w:numId w:val="49"/>
        </w:numPr>
        <w:jc w:val="both"/>
      </w:pPr>
      <w:r>
        <w:t xml:space="preserve">HPV vaccine for </w:t>
      </w:r>
      <w:r w:rsidR="00B42295">
        <w:t>12-</w:t>
      </w:r>
      <w:r w:rsidR="00E02A0B">
        <w:t>13 year old girls</w:t>
      </w:r>
    </w:p>
    <w:p w:rsidR="00E02A0B" w:rsidRDefault="001E574F" w:rsidP="00815046">
      <w:pPr>
        <w:pStyle w:val="ListParagraph"/>
        <w:numPr>
          <w:ilvl w:val="1"/>
          <w:numId w:val="49"/>
        </w:numPr>
        <w:jc w:val="both"/>
      </w:pPr>
      <w:r>
        <w:t>T</w:t>
      </w:r>
      <w:r w:rsidR="006F4CDF">
        <w:t>etanus, diphtheria, polio boost</w:t>
      </w:r>
      <w:r w:rsidR="00B42295">
        <w:t>er</w:t>
      </w:r>
      <w:r w:rsidR="00E02A0B">
        <w:t xml:space="preserve"> (Teenage Booster)</w:t>
      </w:r>
      <w:r w:rsidR="00B42295">
        <w:t xml:space="preserve"> at a</w:t>
      </w:r>
      <w:r w:rsidR="00E02A0B">
        <w:t>ge 14/15 for boys and girls</w:t>
      </w:r>
    </w:p>
    <w:p w:rsidR="006F4CDF" w:rsidRDefault="00B42295" w:rsidP="00815046">
      <w:pPr>
        <w:pStyle w:val="ListParagraph"/>
        <w:numPr>
          <w:ilvl w:val="1"/>
          <w:numId w:val="49"/>
        </w:numPr>
        <w:jc w:val="both"/>
      </w:pPr>
      <w:r>
        <w:t>Meningitis ACWY</w:t>
      </w:r>
      <w:r w:rsidR="00E02A0B">
        <w:t xml:space="preserve"> at age 14/15</w:t>
      </w:r>
    </w:p>
    <w:p w:rsidR="00E02A0B" w:rsidRDefault="00E02A0B" w:rsidP="00815046">
      <w:pPr>
        <w:pStyle w:val="ListParagraph"/>
        <w:numPr>
          <w:ilvl w:val="1"/>
          <w:numId w:val="49"/>
        </w:numPr>
        <w:jc w:val="both"/>
      </w:pPr>
      <w:r>
        <w:t>Annual child ‘flu vaccination programme which in 2017/18 covered Reception to Year 4 in primary schools</w:t>
      </w:r>
    </w:p>
    <w:p w:rsidR="006F4CDF" w:rsidRDefault="006F4CDF" w:rsidP="00815046">
      <w:pPr>
        <w:jc w:val="both"/>
      </w:pPr>
    </w:p>
    <w:p w:rsidR="00513964" w:rsidRDefault="00513964" w:rsidP="00815046">
      <w:pPr>
        <w:pStyle w:val="Heading2"/>
        <w:jc w:val="both"/>
      </w:pPr>
      <w:bookmarkStart w:id="16" w:name="_Toc531010368"/>
      <w:r>
        <w:t>HPV vaccination</w:t>
      </w:r>
      <w:bookmarkEnd w:id="16"/>
    </w:p>
    <w:p w:rsidR="006F4CDF" w:rsidRDefault="006F4CDF" w:rsidP="00815046">
      <w:pPr>
        <w:jc w:val="both"/>
      </w:pPr>
    </w:p>
    <w:p w:rsidR="006F4CDF" w:rsidRDefault="00AC5CA0" w:rsidP="00815046">
      <w:pPr>
        <w:pStyle w:val="ListParagraph"/>
        <w:numPr>
          <w:ilvl w:val="0"/>
          <w:numId w:val="10"/>
        </w:numPr>
        <w:jc w:val="both"/>
      </w:pPr>
      <w:r>
        <w:t xml:space="preserve">Human papillomavirus (HPV) vaccination </w:t>
      </w:r>
      <w:r w:rsidR="006F4CDF">
        <w:t>protects against viruses that are linked to the development of cervical cancer</w:t>
      </w:r>
    </w:p>
    <w:p w:rsidR="00AC5CA0" w:rsidRDefault="006F4CDF" w:rsidP="00815046">
      <w:pPr>
        <w:pStyle w:val="ListParagraph"/>
        <w:numPr>
          <w:ilvl w:val="0"/>
          <w:numId w:val="10"/>
        </w:numPr>
        <w:jc w:val="both"/>
      </w:pPr>
      <w:r>
        <w:t xml:space="preserve">HPV vaccination </w:t>
      </w:r>
      <w:r w:rsidR="00AC5CA0">
        <w:t>has been offered to 12-13 year old girls (Year 8) since the academic year 2008/09.  Originally the course was 3 doses but following the recommendation of the Joint Committee of Vaccinations and Immunisations (JCVI) in 2014 is that two doses are adequate.</w:t>
      </w:r>
    </w:p>
    <w:p w:rsidR="007B756E" w:rsidRPr="00B57C64" w:rsidRDefault="00AC5CA0" w:rsidP="00591DC7">
      <w:pPr>
        <w:pStyle w:val="ListParagraph"/>
        <w:numPr>
          <w:ilvl w:val="0"/>
          <w:numId w:val="10"/>
        </w:numPr>
        <w:jc w:val="both"/>
      </w:pPr>
      <w:r>
        <w:t>Since 2008/09, there has been a steady increase of uptake both nationally and in London.  However the introduction of a two course programme instead of a three course programme meant that many providers didn’t offer the second dose until the next academic year.  For 2015/16, London was the only region to commission both doses to be given within one academic year</w:t>
      </w:r>
      <w:r w:rsidR="00404527">
        <w:t xml:space="preserve">.  This has continued until this year, 2018/19 </w:t>
      </w:r>
      <w:r w:rsidR="00E02A0B">
        <w:t>where</w:t>
      </w:r>
      <w:r w:rsidR="00404527">
        <w:t xml:space="preserve"> providers are now given a choice of whether to deliver both doses in one year or one dose in year 8 and the second in year 9 due to the increasing pressure of the school flu programme which has now expanded.  </w:t>
      </w:r>
      <w:r w:rsidR="005C5EAF">
        <w:t>CLCH</w:t>
      </w:r>
      <w:r w:rsidR="00404527">
        <w:t xml:space="preserve"> who deliver the programme in </w:t>
      </w:r>
      <w:r w:rsidR="00E3016F">
        <w:t>Harrow</w:t>
      </w:r>
      <w:r w:rsidR="00404527">
        <w:t xml:space="preserve"> have opted to deli</w:t>
      </w:r>
      <w:r w:rsidR="00D459F4">
        <w:t>ver in this way for this year and</w:t>
      </w:r>
      <w:r w:rsidR="00404527">
        <w:t xml:space="preserve"> are currently completing the first </w:t>
      </w:r>
      <w:r w:rsidR="00404527" w:rsidRPr="00B57C64">
        <w:t>dose to year 8’s in the borough.</w:t>
      </w:r>
    </w:p>
    <w:p w:rsidR="00591DC7" w:rsidRPr="00B57C64" w:rsidRDefault="00E3016F" w:rsidP="00591DC7">
      <w:pPr>
        <w:pStyle w:val="ListParagraph"/>
        <w:numPr>
          <w:ilvl w:val="0"/>
          <w:numId w:val="10"/>
        </w:numPr>
        <w:jc w:val="both"/>
      </w:pPr>
      <w:r w:rsidRPr="00B57C64">
        <w:t>Harrow</w:t>
      </w:r>
      <w:r w:rsidR="00591DC7" w:rsidRPr="00B57C64">
        <w:t xml:space="preserve">’s uptake for 2 completed doses is </w:t>
      </w:r>
      <w:r w:rsidR="00B57C64" w:rsidRPr="00B57C64">
        <w:t>73.2</w:t>
      </w:r>
      <w:r w:rsidR="00591DC7" w:rsidRPr="00B57C64">
        <w:t xml:space="preserve">% which is </w:t>
      </w:r>
      <w:r w:rsidR="00B57C64" w:rsidRPr="00B57C64">
        <w:t>below</w:t>
      </w:r>
      <w:r w:rsidR="00591DC7" w:rsidRPr="00B57C64">
        <w:t xml:space="preserve"> the London average of 75.3% and higher than the NWL STP area average of 72.1%.</w:t>
      </w:r>
    </w:p>
    <w:p w:rsidR="00AC5CA0" w:rsidRDefault="00E02A0B" w:rsidP="007B756E">
      <w:pPr>
        <w:jc w:val="center"/>
        <w:rPr>
          <w:i/>
        </w:rPr>
      </w:pPr>
      <w:r>
        <w:rPr>
          <w:i/>
        </w:rPr>
        <w:br w:type="page"/>
      </w:r>
      <w:r w:rsidR="00AC5CA0">
        <w:rPr>
          <w:i/>
        </w:rPr>
        <w:lastRenderedPageBreak/>
        <w:t xml:space="preserve">Figure </w:t>
      </w:r>
      <w:r w:rsidR="00AE00CD">
        <w:rPr>
          <w:i/>
        </w:rPr>
        <w:t>13</w:t>
      </w:r>
    </w:p>
    <w:p w:rsidR="00404527" w:rsidRDefault="00BF2800" w:rsidP="00404527">
      <w:pPr>
        <w:jc w:val="center"/>
        <w:rPr>
          <w:rFonts w:cs="Arial"/>
          <w:i/>
          <w:szCs w:val="24"/>
        </w:rPr>
      </w:pPr>
      <w:r>
        <w:rPr>
          <w:rFonts w:cs="Arial"/>
          <w:i/>
          <w:szCs w:val="24"/>
        </w:rPr>
        <w:t>Dose 1 HPV Year 8</w:t>
      </w:r>
    </w:p>
    <w:p w:rsidR="008645ED" w:rsidRDefault="008645ED" w:rsidP="00AC5CA0">
      <w:pPr>
        <w:jc w:val="center"/>
      </w:pPr>
    </w:p>
    <w:p w:rsidR="00404527" w:rsidRDefault="00404527" w:rsidP="00AC5CA0">
      <w:r>
        <w:rPr>
          <w:noProof/>
          <w:lang w:eastAsia="en-GB"/>
        </w:rPr>
        <w:drawing>
          <wp:inline distT="0" distB="0" distL="0" distR="0" wp14:anchorId="67416AF7" wp14:editId="53B1651D">
            <wp:extent cx="5918424" cy="2828925"/>
            <wp:effectExtent l="0" t="0" r="635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8"/>
                    <a:stretch>
                      <a:fillRect/>
                    </a:stretch>
                  </pic:blipFill>
                  <pic:spPr>
                    <a:xfrm>
                      <a:off x="0" y="0"/>
                      <a:ext cx="5927348" cy="2833191"/>
                    </a:xfrm>
                    <a:prstGeom prst="rect">
                      <a:avLst/>
                    </a:prstGeom>
                  </pic:spPr>
                </pic:pic>
              </a:graphicData>
            </a:graphic>
          </wp:inline>
        </w:drawing>
      </w:r>
    </w:p>
    <w:p w:rsidR="00AC5CA0" w:rsidRDefault="00AC5CA0" w:rsidP="00AC5CA0"/>
    <w:p w:rsidR="008645ED" w:rsidRDefault="008645ED" w:rsidP="00996101">
      <w:pPr>
        <w:jc w:val="center"/>
        <w:rPr>
          <w:rFonts w:cs="Arial"/>
          <w:i/>
          <w:szCs w:val="24"/>
          <w:lang w:val="en-US"/>
        </w:rPr>
      </w:pPr>
    </w:p>
    <w:p w:rsidR="007B756E" w:rsidRDefault="007B756E" w:rsidP="00404527">
      <w:pPr>
        <w:jc w:val="right"/>
        <w:rPr>
          <w:rFonts w:cs="Arial"/>
          <w:i/>
          <w:szCs w:val="24"/>
          <w:lang w:val="en-US"/>
        </w:rPr>
      </w:pPr>
    </w:p>
    <w:p w:rsidR="007B756E" w:rsidRDefault="007B756E" w:rsidP="00404527">
      <w:pPr>
        <w:jc w:val="right"/>
        <w:rPr>
          <w:rFonts w:cs="Arial"/>
          <w:i/>
          <w:szCs w:val="24"/>
          <w:lang w:val="en-US"/>
        </w:rPr>
      </w:pPr>
    </w:p>
    <w:p w:rsidR="007B756E" w:rsidRDefault="007B756E" w:rsidP="00404527">
      <w:pPr>
        <w:jc w:val="right"/>
        <w:rPr>
          <w:rFonts w:cs="Arial"/>
          <w:i/>
          <w:szCs w:val="24"/>
          <w:lang w:val="en-US"/>
        </w:rPr>
      </w:pPr>
      <w:r w:rsidRPr="00404527">
        <w:rPr>
          <w:noProof/>
          <w:lang w:eastAsia="en-GB"/>
        </w:rPr>
        <w:drawing>
          <wp:inline distT="0" distB="0" distL="0" distR="0" wp14:anchorId="7BDF0C18" wp14:editId="36DFEDCE">
            <wp:extent cx="5993342" cy="2800350"/>
            <wp:effectExtent l="0" t="0" r="7620" b="0"/>
            <wp:docPr id="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9"/>
                    <a:stretch>
                      <a:fillRect/>
                    </a:stretch>
                  </pic:blipFill>
                  <pic:spPr>
                    <a:xfrm>
                      <a:off x="0" y="0"/>
                      <a:ext cx="6003719" cy="2805199"/>
                    </a:xfrm>
                    <a:prstGeom prst="rect">
                      <a:avLst/>
                    </a:prstGeom>
                  </pic:spPr>
                </pic:pic>
              </a:graphicData>
            </a:graphic>
          </wp:inline>
        </w:drawing>
      </w:r>
    </w:p>
    <w:p w:rsidR="007B756E" w:rsidRDefault="007B756E" w:rsidP="00404527">
      <w:pPr>
        <w:jc w:val="right"/>
        <w:rPr>
          <w:rFonts w:cs="Arial"/>
          <w:i/>
          <w:szCs w:val="24"/>
          <w:lang w:val="en-US"/>
        </w:rPr>
      </w:pPr>
    </w:p>
    <w:p w:rsidR="007B756E" w:rsidRDefault="007B756E" w:rsidP="00404527">
      <w:pPr>
        <w:jc w:val="right"/>
        <w:rPr>
          <w:rFonts w:cs="Arial"/>
          <w:i/>
          <w:szCs w:val="24"/>
          <w:lang w:val="en-US"/>
        </w:rPr>
      </w:pPr>
    </w:p>
    <w:p w:rsidR="007B756E" w:rsidRDefault="007B756E" w:rsidP="00404527">
      <w:pPr>
        <w:jc w:val="right"/>
        <w:rPr>
          <w:rFonts w:cs="Arial"/>
          <w:i/>
          <w:szCs w:val="24"/>
          <w:lang w:val="en-US"/>
        </w:rPr>
      </w:pPr>
    </w:p>
    <w:p w:rsidR="007B756E" w:rsidRDefault="007B756E" w:rsidP="00404527">
      <w:pPr>
        <w:jc w:val="right"/>
        <w:rPr>
          <w:rFonts w:cs="Arial"/>
          <w:i/>
          <w:szCs w:val="24"/>
          <w:lang w:val="en-US"/>
        </w:rPr>
      </w:pPr>
    </w:p>
    <w:p w:rsidR="007B756E" w:rsidRDefault="007B756E" w:rsidP="00404527">
      <w:pPr>
        <w:jc w:val="right"/>
        <w:rPr>
          <w:rFonts w:cs="Arial"/>
          <w:i/>
          <w:szCs w:val="24"/>
          <w:lang w:val="en-US"/>
        </w:rPr>
      </w:pPr>
    </w:p>
    <w:p w:rsidR="00620CF8" w:rsidRDefault="00404527" w:rsidP="00404527">
      <w:pPr>
        <w:jc w:val="right"/>
        <w:rPr>
          <w:rFonts w:cs="Arial"/>
          <w:i/>
          <w:szCs w:val="24"/>
          <w:lang w:val="en-US"/>
        </w:rPr>
      </w:pPr>
      <w:r>
        <w:rPr>
          <w:rFonts w:cs="Arial"/>
          <w:i/>
          <w:szCs w:val="24"/>
          <w:lang w:val="en-US"/>
        </w:rPr>
        <w:t>Source: PHE (2018</w:t>
      </w:r>
      <w:r w:rsidR="004D3580">
        <w:rPr>
          <w:rFonts w:cs="Arial"/>
          <w:i/>
          <w:szCs w:val="24"/>
          <w:lang w:val="en-US"/>
        </w:rPr>
        <w:t>)</w:t>
      </w:r>
    </w:p>
    <w:p w:rsidR="00404527" w:rsidRDefault="00404527" w:rsidP="00404527">
      <w:pPr>
        <w:jc w:val="right"/>
        <w:rPr>
          <w:rFonts w:cs="Arial"/>
          <w:i/>
          <w:szCs w:val="24"/>
          <w:lang w:val="en-US"/>
        </w:rPr>
      </w:pPr>
    </w:p>
    <w:p w:rsidR="00E02A0B" w:rsidRDefault="00E02A0B">
      <w:pPr>
        <w:rPr>
          <w:i/>
        </w:rPr>
      </w:pPr>
      <w:r>
        <w:rPr>
          <w:i/>
        </w:rPr>
        <w:br w:type="page"/>
      </w:r>
    </w:p>
    <w:p w:rsidR="00404527" w:rsidRPr="00404527" w:rsidRDefault="00404527" w:rsidP="00404527">
      <w:pPr>
        <w:jc w:val="center"/>
        <w:rPr>
          <w:i/>
        </w:rPr>
      </w:pPr>
      <w:r>
        <w:rPr>
          <w:i/>
        </w:rPr>
        <w:lastRenderedPageBreak/>
        <w:t xml:space="preserve">Figure </w:t>
      </w:r>
      <w:r w:rsidR="00AE00CD">
        <w:rPr>
          <w:i/>
        </w:rPr>
        <w:t>14</w:t>
      </w:r>
    </w:p>
    <w:p w:rsidR="00404527" w:rsidRDefault="00E02A0B" w:rsidP="00404527">
      <w:pPr>
        <w:jc w:val="center"/>
        <w:rPr>
          <w:rFonts w:cs="Arial"/>
          <w:i/>
          <w:szCs w:val="24"/>
        </w:rPr>
      </w:pPr>
      <w:r>
        <w:rPr>
          <w:rFonts w:cs="Arial"/>
          <w:i/>
          <w:szCs w:val="24"/>
        </w:rPr>
        <w:t>Completed</w:t>
      </w:r>
      <w:r w:rsidR="00BF2800">
        <w:rPr>
          <w:rFonts w:cs="Arial"/>
          <w:i/>
          <w:szCs w:val="24"/>
        </w:rPr>
        <w:t xml:space="preserve"> HPV course Year 8 (2 doses)</w:t>
      </w:r>
    </w:p>
    <w:p w:rsidR="00404527" w:rsidRDefault="00404527" w:rsidP="00404527">
      <w:pPr>
        <w:jc w:val="center"/>
        <w:rPr>
          <w:rFonts w:cs="Arial"/>
          <w:i/>
          <w:szCs w:val="24"/>
        </w:rPr>
      </w:pPr>
    </w:p>
    <w:p w:rsidR="00404527" w:rsidRDefault="00404527" w:rsidP="00404527">
      <w:pPr>
        <w:jc w:val="center"/>
        <w:rPr>
          <w:rFonts w:cs="Arial"/>
          <w:i/>
          <w:szCs w:val="24"/>
        </w:rPr>
      </w:pPr>
      <w:r w:rsidRPr="00404527">
        <w:rPr>
          <w:rFonts w:cs="Arial"/>
          <w:i/>
          <w:noProof/>
          <w:szCs w:val="24"/>
          <w:lang w:eastAsia="en-GB"/>
        </w:rPr>
        <w:drawing>
          <wp:inline distT="0" distB="0" distL="0" distR="0" wp14:anchorId="1CB35875" wp14:editId="27555433">
            <wp:extent cx="5755640" cy="2527316"/>
            <wp:effectExtent l="0" t="0" r="0" b="6350"/>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0"/>
                    <a:stretch>
                      <a:fillRect/>
                    </a:stretch>
                  </pic:blipFill>
                  <pic:spPr>
                    <a:xfrm>
                      <a:off x="0" y="0"/>
                      <a:ext cx="5755640" cy="2527316"/>
                    </a:xfrm>
                    <a:prstGeom prst="rect">
                      <a:avLst/>
                    </a:prstGeom>
                  </pic:spPr>
                </pic:pic>
              </a:graphicData>
            </a:graphic>
          </wp:inline>
        </w:drawing>
      </w:r>
      <w:r w:rsidRPr="00404527">
        <w:rPr>
          <w:noProof/>
          <w:lang w:eastAsia="en-GB"/>
        </w:rPr>
        <w:t xml:space="preserve"> </w:t>
      </w:r>
      <w:r w:rsidRPr="00404527">
        <w:rPr>
          <w:rFonts w:cs="Arial"/>
          <w:i/>
          <w:noProof/>
          <w:szCs w:val="24"/>
          <w:lang w:eastAsia="en-GB"/>
        </w:rPr>
        <w:drawing>
          <wp:inline distT="0" distB="0" distL="0" distR="0" wp14:anchorId="0F8BFE40" wp14:editId="08A588F0">
            <wp:extent cx="5675902" cy="2258248"/>
            <wp:effectExtent l="0" t="0" r="1270" b="8890"/>
            <wp:docPr id="1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31"/>
                    <a:stretch>
                      <a:fillRect/>
                    </a:stretch>
                  </pic:blipFill>
                  <pic:spPr>
                    <a:xfrm>
                      <a:off x="0" y="0"/>
                      <a:ext cx="5675902" cy="2258248"/>
                    </a:xfrm>
                    <a:prstGeom prst="rect">
                      <a:avLst/>
                    </a:prstGeom>
                  </pic:spPr>
                </pic:pic>
              </a:graphicData>
            </a:graphic>
          </wp:inline>
        </w:drawing>
      </w:r>
    </w:p>
    <w:p w:rsidR="00404527" w:rsidRDefault="00404527" w:rsidP="00404527">
      <w:pPr>
        <w:jc w:val="center"/>
      </w:pPr>
    </w:p>
    <w:p w:rsidR="00404527" w:rsidRDefault="00404527" w:rsidP="00404527">
      <w:pPr>
        <w:jc w:val="right"/>
        <w:rPr>
          <w:rFonts w:cs="Arial"/>
          <w:i/>
          <w:szCs w:val="24"/>
          <w:lang w:val="en-US"/>
        </w:rPr>
      </w:pPr>
      <w:r>
        <w:rPr>
          <w:rFonts w:cs="Arial"/>
          <w:i/>
          <w:szCs w:val="24"/>
          <w:lang w:val="en-US"/>
        </w:rPr>
        <w:t>Source: PHE (2018)</w:t>
      </w:r>
    </w:p>
    <w:p w:rsidR="00404527" w:rsidRPr="00404527" w:rsidRDefault="00404527" w:rsidP="00404527">
      <w:pPr>
        <w:jc w:val="right"/>
        <w:rPr>
          <w:rFonts w:cs="Arial"/>
          <w:i/>
          <w:szCs w:val="24"/>
          <w:lang w:val="en-US"/>
        </w:rPr>
      </w:pPr>
    </w:p>
    <w:p w:rsidR="00AB6724" w:rsidRDefault="00AB6724" w:rsidP="005868D0"/>
    <w:p w:rsidR="00300F0C" w:rsidRDefault="00AC5CA0" w:rsidP="00300F0C">
      <w:pPr>
        <w:pStyle w:val="Heading2"/>
      </w:pPr>
      <w:bookmarkStart w:id="17" w:name="_Toc531010369"/>
      <w:r>
        <w:t>Men ACWY</w:t>
      </w:r>
      <w:bookmarkEnd w:id="17"/>
    </w:p>
    <w:p w:rsidR="00F0238A" w:rsidRDefault="00F0238A" w:rsidP="00815046">
      <w:pPr>
        <w:pStyle w:val="ListParagraph"/>
        <w:numPr>
          <w:ilvl w:val="0"/>
          <w:numId w:val="26"/>
        </w:numPr>
        <w:jc w:val="both"/>
      </w:pPr>
      <w:r>
        <w:t xml:space="preserve">This vaccination protects against four </w:t>
      </w:r>
      <w:r w:rsidR="00925E9D">
        <w:t>main meningococcal strains (A</w:t>
      </w:r>
      <w:r w:rsidR="00800A26">
        <w:t>, C, W</w:t>
      </w:r>
      <w:r w:rsidR="00925E9D">
        <w:t xml:space="preserve"> and Y) that cause invasive meningococcal disease, meningitis and septicaemia.  </w:t>
      </w:r>
    </w:p>
    <w:p w:rsidR="00B42295" w:rsidRDefault="00AE00CD" w:rsidP="00815046">
      <w:pPr>
        <w:pStyle w:val="ListParagraph"/>
        <w:numPr>
          <w:ilvl w:val="0"/>
          <w:numId w:val="26"/>
        </w:numPr>
        <w:jc w:val="both"/>
      </w:pPr>
      <w:r w:rsidRPr="009F06A9">
        <w:t>As seen in Figure 15</w:t>
      </w:r>
      <w:r w:rsidR="00925E9D" w:rsidRPr="009F06A9">
        <w:t xml:space="preserve">, the uptake rate for </w:t>
      </w:r>
      <w:r w:rsidR="00E3016F" w:rsidRPr="009F06A9">
        <w:t>Harrow</w:t>
      </w:r>
      <w:r w:rsidR="00925E9D" w:rsidRPr="009F06A9">
        <w:t xml:space="preserve"> </w:t>
      </w:r>
      <w:r w:rsidR="00B42295" w:rsidRPr="009F06A9">
        <w:t>was</w:t>
      </w:r>
      <w:r w:rsidR="008645ED" w:rsidRPr="009F06A9">
        <w:t xml:space="preserve"> </w:t>
      </w:r>
      <w:r w:rsidR="009F06A9" w:rsidRPr="009F06A9">
        <w:t>70.6</w:t>
      </w:r>
      <w:r w:rsidR="00B043D3" w:rsidRPr="009F06A9">
        <w:t>% for Year 10</w:t>
      </w:r>
      <w:r w:rsidR="00925E9D" w:rsidRPr="009F06A9">
        <w:t xml:space="preserve"> which is </w:t>
      </w:r>
      <w:r w:rsidR="009F06A9" w:rsidRPr="009F06A9">
        <w:t>below the</w:t>
      </w:r>
      <w:r w:rsidR="00925E9D" w:rsidRPr="009F06A9">
        <w:t xml:space="preserve"> London average</w:t>
      </w:r>
      <w:r w:rsidR="00B043D3" w:rsidRPr="009F06A9">
        <w:t>.</w:t>
      </w:r>
    </w:p>
    <w:p w:rsidR="00B043D3" w:rsidRDefault="00B043D3" w:rsidP="00815046">
      <w:pPr>
        <w:spacing w:line="276" w:lineRule="auto"/>
        <w:jc w:val="both"/>
        <w:rPr>
          <w:rFonts w:cs="Arial"/>
          <w:i/>
          <w:szCs w:val="24"/>
        </w:rPr>
      </w:pPr>
    </w:p>
    <w:p w:rsidR="00925E9D" w:rsidRDefault="00925E9D" w:rsidP="00815046">
      <w:pPr>
        <w:jc w:val="both"/>
        <w:rPr>
          <w:rFonts w:cs="Arial"/>
          <w:i/>
          <w:szCs w:val="24"/>
        </w:rPr>
      </w:pPr>
      <w:r>
        <w:rPr>
          <w:rFonts w:cs="Arial"/>
          <w:i/>
          <w:szCs w:val="24"/>
        </w:rPr>
        <w:br w:type="page"/>
      </w:r>
    </w:p>
    <w:p w:rsidR="00925E9D" w:rsidRDefault="00AE00CD" w:rsidP="00B043D3">
      <w:pPr>
        <w:spacing w:line="276" w:lineRule="auto"/>
        <w:jc w:val="center"/>
        <w:rPr>
          <w:rFonts w:cs="Arial"/>
          <w:i/>
          <w:szCs w:val="24"/>
        </w:rPr>
      </w:pPr>
      <w:r>
        <w:rPr>
          <w:rFonts w:cs="Arial"/>
          <w:i/>
          <w:szCs w:val="24"/>
        </w:rPr>
        <w:lastRenderedPageBreak/>
        <w:t>Figure 15</w:t>
      </w:r>
      <w:r w:rsidR="00925E9D">
        <w:rPr>
          <w:rFonts w:cs="Arial"/>
          <w:i/>
          <w:szCs w:val="24"/>
        </w:rPr>
        <w:t xml:space="preserve"> </w:t>
      </w:r>
    </w:p>
    <w:p w:rsidR="00B043D3" w:rsidRPr="00B043D3" w:rsidRDefault="00925E9D" w:rsidP="00B043D3">
      <w:pPr>
        <w:spacing w:line="276" w:lineRule="auto"/>
        <w:jc w:val="center"/>
        <w:rPr>
          <w:rFonts w:cs="Arial"/>
          <w:i/>
          <w:szCs w:val="24"/>
        </w:rPr>
      </w:pPr>
      <w:proofErr w:type="spellStart"/>
      <w:r>
        <w:rPr>
          <w:rFonts w:cs="Arial"/>
          <w:i/>
          <w:szCs w:val="24"/>
        </w:rPr>
        <w:t>MenACWY</w:t>
      </w:r>
      <w:proofErr w:type="spellEnd"/>
      <w:r>
        <w:rPr>
          <w:rFonts w:cs="Arial"/>
          <w:i/>
          <w:szCs w:val="24"/>
        </w:rPr>
        <w:t xml:space="preserve"> uptake in </w:t>
      </w:r>
      <w:r w:rsidR="00B043D3" w:rsidRPr="00B043D3">
        <w:rPr>
          <w:rFonts w:cs="Arial"/>
          <w:i/>
          <w:szCs w:val="24"/>
        </w:rPr>
        <w:t>Year 10 (14-15 years)</w:t>
      </w:r>
    </w:p>
    <w:p w:rsidR="00B043D3" w:rsidRDefault="00B043D3" w:rsidP="00B043D3">
      <w:r w:rsidRPr="00B043D3">
        <w:rPr>
          <w:noProof/>
          <w:lang w:eastAsia="en-GB"/>
        </w:rPr>
        <w:drawing>
          <wp:inline distT="0" distB="0" distL="0" distR="0" wp14:anchorId="10241262" wp14:editId="52E1E908">
            <wp:extent cx="5755640" cy="2527316"/>
            <wp:effectExtent l="0" t="0" r="0" b="6350"/>
            <wp:docPr id="12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2"/>
                    <a:stretch>
                      <a:fillRect/>
                    </a:stretch>
                  </pic:blipFill>
                  <pic:spPr>
                    <a:xfrm>
                      <a:off x="0" y="0"/>
                      <a:ext cx="5755640" cy="2527316"/>
                    </a:xfrm>
                    <a:prstGeom prst="rect">
                      <a:avLst/>
                    </a:prstGeom>
                  </pic:spPr>
                </pic:pic>
              </a:graphicData>
            </a:graphic>
          </wp:inline>
        </w:drawing>
      </w:r>
    </w:p>
    <w:p w:rsidR="00B043D3" w:rsidRPr="008704CB" w:rsidRDefault="00B043D3" w:rsidP="00B043D3">
      <w:r w:rsidRPr="00B043D3">
        <w:rPr>
          <w:noProof/>
          <w:lang w:eastAsia="en-GB"/>
        </w:rPr>
        <w:drawing>
          <wp:inline distT="0" distB="0" distL="0" distR="0" wp14:anchorId="3FB5B0EC" wp14:editId="38511F7B">
            <wp:extent cx="5755640" cy="2342841"/>
            <wp:effectExtent l="0" t="0" r="0" b="635"/>
            <wp:docPr id="133"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33"/>
                    <a:stretch>
                      <a:fillRect/>
                    </a:stretch>
                  </pic:blipFill>
                  <pic:spPr>
                    <a:xfrm>
                      <a:off x="0" y="0"/>
                      <a:ext cx="5755640" cy="2342841"/>
                    </a:xfrm>
                    <a:prstGeom prst="rect">
                      <a:avLst/>
                    </a:prstGeom>
                  </pic:spPr>
                </pic:pic>
              </a:graphicData>
            </a:graphic>
          </wp:inline>
        </w:drawing>
      </w:r>
    </w:p>
    <w:p w:rsidR="00AC5CA0" w:rsidRDefault="00AC5CA0" w:rsidP="00307103">
      <w:pPr>
        <w:pStyle w:val="ListParagraph"/>
      </w:pPr>
    </w:p>
    <w:p w:rsidR="00B043D3" w:rsidRPr="00B043D3" w:rsidRDefault="00B043D3" w:rsidP="00B043D3">
      <w:pPr>
        <w:jc w:val="right"/>
        <w:rPr>
          <w:i/>
        </w:rPr>
      </w:pPr>
      <w:r>
        <w:rPr>
          <w:i/>
        </w:rPr>
        <w:t>Source: PHE (2018)</w:t>
      </w:r>
    </w:p>
    <w:p w:rsidR="00B043D3" w:rsidRDefault="00B043D3" w:rsidP="00B043D3">
      <w:pPr>
        <w:jc w:val="both"/>
        <w:rPr>
          <w:rFonts w:asciiTheme="minorHAnsi" w:hAnsiTheme="minorHAnsi" w:cstheme="minorHAnsi"/>
          <w:szCs w:val="24"/>
        </w:rPr>
      </w:pPr>
    </w:p>
    <w:p w:rsidR="00B043D3" w:rsidRDefault="00B043D3" w:rsidP="00B043D3">
      <w:pPr>
        <w:pStyle w:val="Heading2"/>
      </w:pPr>
      <w:bookmarkStart w:id="18" w:name="_Toc531010370"/>
      <w:r>
        <w:t>Td/IPV</w:t>
      </w:r>
      <w:bookmarkEnd w:id="18"/>
    </w:p>
    <w:p w:rsidR="00C80293" w:rsidRDefault="00C80293" w:rsidP="00815046">
      <w:pPr>
        <w:pStyle w:val="ListParagraph"/>
        <w:numPr>
          <w:ilvl w:val="0"/>
          <w:numId w:val="26"/>
        </w:numPr>
        <w:jc w:val="both"/>
      </w:pPr>
      <w:r>
        <w:t>The school leaver booster is the fifth dose of tetanus, diphtheria and polio (Td/IPV) vaccine in the routine immunisation schedule and completes the course, providing long-term protection against all three diseases</w:t>
      </w:r>
      <w:r w:rsidR="00A04697">
        <w:t>.</w:t>
      </w:r>
    </w:p>
    <w:p w:rsidR="00A04697" w:rsidRDefault="00A04697" w:rsidP="00815046">
      <w:pPr>
        <w:jc w:val="both"/>
      </w:pPr>
    </w:p>
    <w:p w:rsidR="00A04697" w:rsidRDefault="00A04697" w:rsidP="00815046">
      <w:pPr>
        <w:jc w:val="both"/>
      </w:pPr>
    </w:p>
    <w:p w:rsidR="00A04697" w:rsidRDefault="00A04697" w:rsidP="00815046">
      <w:pPr>
        <w:jc w:val="both"/>
      </w:pPr>
    </w:p>
    <w:p w:rsidR="00A04697" w:rsidRDefault="00A04697" w:rsidP="00815046">
      <w:pPr>
        <w:jc w:val="both"/>
      </w:pPr>
    </w:p>
    <w:p w:rsidR="00A04697" w:rsidRDefault="00A04697" w:rsidP="00815046">
      <w:pPr>
        <w:jc w:val="both"/>
      </w:pPr>
    </w:p>
    <w:p w:rsidR="00A04697" w:rsidRDefault="00A04697" w:rsidP="00815046">
      <w:pPr>
        <w:jc w:val="both"/>
      </w:pPr>
    </w:p>
    <w:p w:rsidR="00A04697" w:rsidRDefault="00A04697" w:rsidP="00815046">
      <w:pPr>
        <w:jc w:val="both"/>
      </w:pPr>
    </w:p>
    <w:p w:rsidR="00925E9D" w:rsidRDefault="00925E9D" w:rsidP="00815046">
      <w:pPr>
        <w:jc w:val="both"/>
        <w:rPr>
          <w:rFonts w:cs="Arial"/>
          <w:i/>
          <w:szCs w:val="24"/>
        </w:rPr>
      </w:pPr>
      <w:r>
        <w:rPr>
          <w:rFonts w:cs="Arial"/>
          <w:i/>
          <w:szCs w:val="24"/>
        </w:rPr>
        <w:br w:type="page"/>
      </w:r>
    </w:p>
    <w:p w:rsidR="00A04697" w:rsidRPr="00A04697" w:rsidRDefault="00AE00CD" w:rsidP="00A04697">
      <w:pPr>
        <w:spacing w:line="276" w:lineRule="auto"/>
        <w:jc w:val="center"/>
        <w:rPr>
          <w:rFonts w:cs="Arial"/>
          <w:i/>
          <w:szCs w:val="24"/>
        </w:rPr>
      </w:pPr>
      <w:r>
        <w:rPr>
          <w:rFonts w:cs="Arial"/>
          <w:i/>
          <w:szCs w:val="24"/>
        </w:rPr>
        <w:lastRenderedPageBreak/>
        <w:t>Figure 16</w:t>
      </w:r>
      <w:r w:rsidR="00A04697">
        <w:rPr>
          <w:rFonts w:cs="Arial"/>
          <w:i/>
          <w:szCs w:val="24"/>
        </w:rPr>
        <w:t xml:space="preserve"> </w:t>
      </w:r>
      <w:r w:rsidR="00A04697" w:rsidRPr="00A04697">
        <w:rPr>
          <w:rFonts w:cs="Arial"/>
          <w:i/>
          <w:szCs w:val="24"/>
        </w:rPr>
        <w:t>Td/IPV- Year 10 (14-15 years)</w:t>
      </w:r>
    </w:p>
    <w:p w:rsidR="00C80293" w:rsidRDefault="00C80293" w:rsidP="00C80293">
      <w:r w:rsidRPr="00C80293">
        <w:rPr>
          <w:noProof/>
          <w:lang w:eastAsia="en-GB"/>
        </w:rPr>
        <w:drawing>
          <wp:inline distT="0" distB="0" distL="0" distR="0" wp14:anchorId="1B31920B" wp14:editId="57BC7A19">
            <wp:extent cx="5755640" cy="2527316"/>
            <wp:effectExtent l="0" t="0" r="0" b="6350"/>
            <wp:docPr id="38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4"/>
                    <a:stretch>
                      <a:fillRect/>
                    </a:stretch>
                  </pic:blipFill>
                  <pic:spPr>
                    <a:xfrm>
                      <a:off x="0" y="0"/>
                      <a:ext cx="5755640" cy="2527316"/>
                    </a:xfrm>
                    <a:prstGeom prst="rect">
                      <a:avLst/>
                    </a:prstGeom>
                  </pic:spPr>
                </pic:pic>
              </a:graphicData>
            </a:graphic>
          </wp:inline>
        </w:drawing>
      </w:r>
    </w:p>
    <w:p w:rsidR="00C80293" w:rsidRDefault="00C80293" w:rsidP="00C80293"/>
    <w:p w:rsidR="00C80293" w:rsidRPr="00C80293" w:rsidRDefault="00C80293" w:rsidP="00C80293">
      <w:r w:rsidRPr="00C80293">
        <w:rPr>
          <w:noProof/>
          <w:lang w:eastAsia="en-GB"/>
        </w:rPr>
        <w:drawing>
          <wp:inline distT="0" distB="0" distL="0" distR="0" wp14:anchorId="74A50392" wp14:editId="7986E6DB">
            <wp:extent cx="5755640" cy="2421550"/>
            <wp:effectExtent l="0" t="0" r="0" b="0"/>
            <wp:docPr id="390"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35"/>
                    <a:stretch>
                      <a:fillRect/>
                    </a:stretch>
                  </pic:blipFill>
                  <pic:spPr>
                    <a:xfrm>
                      <a:off x="0" y="0"/>
                      <a:ext cx="5755640" cy="2421550"/>
                    </a:xfrm>
                    <a:prstGeom prst="rect">
                      <a:avLst/>
                    </a:prstGeom>
                  </pic:spPr>
                </pic:pic>
              </a:graphicData>
            </a:graphic>
          </wp:inline>
        </w:drawing>
      </w:r>
    </w:p>
    <w:p w:rsidR="00B043D3" w:rsidRDefault="00B043D3" w:rsidP="00B043D3">
      <w:pPr>
        <w:jc w:val="both"/>
        <w:rPr>
          <w:rFonts w:asciiTheme="minorHAnsi" w:hAnsiTheme="minorHAnsi" w:cstheme="minorHAnsi"/>
          <w:szCs w:val="24"/>
        </w:rPr>
      </w:pPr>
    </w:p>
    <w:p w:rsidR="00A04697" w:rsidRPr="00B043D3" w:rsidRDefault="00A04697" w:rsidP="00A04697">
      <w:pPr>
        <w:jc w:val="right"/>
        <w:rPr>
          <w:i/>
        </w:rPr>
      </w:pPr>
      <w:r>
        <w:rPr>
          <w:i/>
        </w:rPr>
        <w:t>Source: PHE (2018)</w:t>
      </w:r>
    </w:p>
    <w:p w:rsidR="00A04697" w:rsidRPr="00B043D3" w:rsidRDefault="00A04697" w:rsidP="00B043D3">
      <w:pPr>
        <w:jc w:val="both"/>
        <w:rPr>
          <w:rFonts w:asciiTheme="minorHAnsi" w:hAnsiTheme="minorHAnsi" w:cstheme="minorHAnsi"/>
          <w:szCs w:val="24"/>
        </w:rPr>
      </w:pPr>
    </w:p>
    <w:p w:rsidR="00C80293" w:rsidRDefault="00C80293" w:rsidP="00925E9D">
      <w:pPr>
        <w:pStyle w:val="Heading2"/>
      </w:pPr>
      <w:bookmarkStart w:id="19" w:name="_Toc531010371"/>
      <w:r w:rsidRPr="005868D0">
        <w:t>What are we doing to improve uptake</w:t>
      </w:r>
      <w:r w:rsidR="00672233">
        <w:t xml:space="preserve"> in </w:t>
      </w:r>
      <w:r w:rsidR="00E3016F">
        <w:t>Harrow</w:t>
      </w:r>
      <w:r w:rsidRPr="005868D0">
        <w:t>?</w:t>
      </w:r>
      <w:bookmarkEnd w:id="19"/>
      <w:r w:rsidRPr="005868D0">
        <w:t xml:space="preserve"> </w:t>
      </w:r>
    </w:p>
    <w:p w:rsidR="00C80293" w:rsidRPr="005868D0" w:rsidRDefault="00C80293" w:rsidP="00C80293">
      <w:pPr>
        <w:rPr>
          <w:b/>
        </w:rPr>
      </w:pPr>
    </w:p>
    <w:p w:rsidR="000D18EB" w:rsidRPr="00F83C5C" w:rsidRDefault="000D18EB" w:rsidP="000D18EB">
      <w:pPr>
        <w:pStyle w:val="ListParagraph"/>
        <w:numPr>
          <w:ilvl w:val="0"/>
          <w:numId w:val="20"/>
        </w:numPr>
        <w:jc w:val="both"/>
        <w:rPr>
          <w:rFonts w:cs="Arial"/>
          <w:szCs w:val="24"/>
        </w:rPr>
      </w:pPr>
      <w:r w:rsidRPr="00F83C5C">
        <w:rPr>
          <w:rFonts w:cs="Arial"/>
          <w:szCs w:val="24"/>
        </w:rPr>
        <w:t>As well as these pan London approaches, NHSE (London) have been working locally with the</w:t>
      </w:r>
      <w:r w:rsidR="00F83C5C">
        <w:rPr>
          <w:rFonts w:cs="Arial"/>
          <w:szCs w:val="24"/>
        </w:rPr>
        <w:t xml:space="preserve"> Harrow CCG team and</w:t>
      </w:r>
      <w:r w:rsidRPr="00F83C5C">
        <w:rPr>
          <w:rFonts w:cs="Arial"/>
          <w:szCs w:val="24"/>
        </w:rPr>
        <w:t xml:space="preserve"> </w:t>
      </w:r>
      <w:r w:rsidR="00E3016F" w:rsidRPr="00F83C5C">
        <w:rPr>
          <w:rFonts w:cs="Arial"/>
          <w:szCs w:val="24"/>
        </w:rPr>
        <w:t>Harrow</w:t>
      </w:r>
      <w:r w:rsidRPr="00F83C5C">
        <w:rPr>
          <w:rFonts w:cs="Arial"/>
          <w:szCs w:val="24"/>
        </w:rPr>
        <w:t xml:space="preserve"> Public Health team to focus and identify local barriers and vulnerable or underserved groups and to work together to i</w:t>
      </w:r>
      <w:r w:rsidR="005C5EAF" w:rsidRPr="00F83C5C">
        <w:rPr>
          <w:rFonts w:cs="Arial"/>
          <w:szCs w:val="24"/>
        </w:rPr>
        <w:t>mprove public acceptability and</w:t>
      </w:r>
      <w:r w:rsidRPr="00F83C5C">
        <w:rPr>
          <w:rFonts w:cs="Arial"/>
          <w:szCs w:val="24"/>
        </w:rPr>
        <w:t xml:space="preserve"> access and thereby increase vaccine uptake.  </w:t>
      </w:r>
    </w:p>
    <w:p w:rsidR="008A0CEE" w:rsidRPr="008A0CEE" w:rsidRDefault="008A0CEE" w:rsidP="00C80293">
      <w:pPr>
        <w:pStyle w:val="ListParagraph"/>
        <w:numPr>
          <w:ilvl w:val="0"/>
          <w:numId w:val="20"/>
        </w:numPr>
        <w:jc w:val="both"/>
        <w:rPr>
          <w:rFonts w:asciiTheme="minorHAnsi" w:hAnsiTheme="minorHAnsi" w:cstheme="minorHAnsi"/>
          <w:szCs w:val="24"/>
        </w:rPr>
      </w:pPr>
      <w:r>
        <w:rPr>
          <w:rFonts w:cs="Arial"/>
          <w:szCs w:val="24"/>
        </w:rPr>
        <w:t xml:space="preserve">Since July 2017, we have had two ‘deep dive’ workshops with our nine school age vaccination providers across London where we focused on the service factors impacting upon uptake. The main issues were identified as school refusals, lack of return of paper consent forms, self-consent and lack of school support.  We have been working with our providers to rectify these and other issues including a pilot of three organisations using e-consent. </w:t>
      </w:r>
    </w:p>
    <w:p w:rsidR="00C80293" w:rsidRPr="00ED10E0" w:rsidRDefault="008A0CEE" w:rsidP="00C80293">
      <w:pPr>
        <w:pStyle w:val="ListParagraph"/>
        <w:numPr>
          <w:ilvl w:val="0"/>
          <w:numId w:val="20"/>
        </w:numPr>
        <w:jc w:val="both"/>
        <w:rPr>
          <w:rFonts w:asciiTheme="minorHAnsi" w:hAnsiTheme="minorHAnsi" w:cstheme="minorHAnsi"/>
          <w:szCs w:val="24"/>
        </w:rPr>
      </w:pPr>
      <w:r>
        <w:rPr>
          <w:rFonts w:cs="Arial"/>
          <w:szCs w:val="24"/>
        </w:rPr>
        <w:t>Following on from that, the last quarterly meeting of the London Immunisation Pa</w:t>
      </w:r>
      <w:r w:rsidR="00277424">
        <w:rPr>
          <w:rFonts w:cs="Arial"/>
          <w:szCs w:val="24"/>
        </w:rPr>
        <w:t>rtnership (June 2018) did a deep</w:t>
      </w:r>
      <w:r>
        <w:rPr>
          <w:rFonts w:cs="Arial"/>
          <w:szCs w:val="24"/>
        </w:rPr>
        <w:t xml:space="preserve"> dive into the factors impacting upon school aged vaccination rates, looking at data management, </w:t>
      </w:r>
      <w:r>
        <w:rPr>
          <w:rFonts w:cs="Arial"/>
          <w:szCs w:val="24"/>
        </w:rPr>
        <w:lastRenderedPageBreak/>
        <w:t xml:space="preserve">quality of services, commissioning and provider performance and public acceptability.  An action plan has been devised with our partners which is about to be circulated to the directors of public health.  The aim was to make a SMART annual plan that we can deliver together across London to improve uptake.  </w:t>
      </w:r>
    </w:p>
    <w:p w:rsidR="00C80293" w:rsidRPr="0075752C" w:rsidRDefault="008A0CEE" w:rsidP="00815046">
      <w:pPr>
        <w:pStyle w:val="ListParagraph"/>
        <w:numPr>
          <w:ilvl w:val="0"/>
          <w:numId w:val="20"/>
        </w:numPr>
        <w:jc w:val="both"/>
        <w:rPr>
          <w:rFonts w:asciiTheme="minorHAnsi" w:hAnsiTheme="minorHAnsi" w:cstheme="minorHAnsi"/>
          <w:szCs w:val="24"/>
        </w:rPr>
      </w:pPr>
      <w:r>
        <w:rPr>
          <w:rFonts w:cs="Arial"/>
          <w:szCs w:val="24"/>
        </w:rPr>
        <w:t xml:space="preserve">As part of the Evaluation, Analytics and Research Group (EAR) of the London Immunisation Partnership, we continue to work with our academic partners in examining the factors impacting upon school aged vaccination uptake.  We’ve completed a study looking at service factors impacting upon Men ACWY and another on HPV (both papers are currently under review for peer review journals).  We are collaborating on the evaluation of the e-consent and contributing to a RCT on incentives to improve return of consent forms.  We are also working on developing teacher training on school aged vaccinations (an action arising from our deep dive).  </w:t>
      </w:r>
    </w:p>
    <w:p w:rsidR="00300F0C" w:rsidRPr="00300F0C" w:rsidRDefault="00300F0C" w:rsidP="00815046">
      <w:pPr>
        <w:jc w:val="both"/>
        <w:rPr>
          <w:rFonts w:asciiTheme="minorHAnsi" w:hAnsiTheme="minorHAnsi" w:cstheme="minorHAnsi"/>
          <w:szCs w:val="24"/>
        </w:rPr>
      </w:pPr>
    </w:p>
    <w:p w:rsidR="00645907" w:rsidRDefault="00645907" w:rsidP="00815046">
      <w:pPr>
        <w:pStyle w:val="Heading1"/>
        <w:jc w:val="both"/>
      </w:pPr>
      <w:bookmarkStart w:id="20" w:name="_Toc531010372"/>
      <w:r>
        <w:t>Outbreaks of Vaccine Preventable Diseases</w:t>
      </w:r>
      <w:bookmarkEnd w:id="20"/>
    </w:p>
    <w:p w:rsidR="00645907" w:rsidRDefault="00645907" w:rsidP="00815046">
      <w:pPr>
        <w:jc w:val="both"/>
      </w:pPr>
    </w:p>
    <w:p w:rsidR="00645907" w:rsidRDefault="00645907" w:rsidP="00815046">
      <w:pPr>
        <w:pStyle w:val="ListParagraph"/>
        <w:numPr>
          <w:ilvl w:val="0"/>
          <w:numId w:val="26"/>
        </w:numPr>
        <w:jc w:val="both"/>
      </w:pPr>
      <w:r>
        <w:t xml:space="preserve">PHE NWL Health Protection Team has the remit to survey and respond to cases of vaccine preventable diseases.  Where they </w:t>
      </w:r>
      <w:r w:rsidR="0018552E">
        <w:t xml:space="preserve">declare a cluster or an outbreak, NHSE (London) have commissioned Imms01 which is the commissioner response.  Under this we can mobilise a provider service response to vaccinate the designated contacts.  </w:t>
      </w:r>
    </w:p>
    <w:p w:rsidR="0018552E" w:rsidRPr="0018552E" w:rsidRDefault="0018552E" w:rsidP="00815046">
      <w:pPr>
        <w:pStyle w:val="Default"/>
        <w:numPr>
          <w:ilvl w:val="0"/>
          <w:numId w:val="26"/>
        </w:numPr>
        <w:jc w:val="both"/>
      </w:pPr>
      <w:r w:rsidRPr="0078321E">
        <w:t xml:space="preserve">During 2017, a total of 20 confirmed measles cases were reported for NWL.  </w:t>
      </w:r>
      <w:r w:rsidR="0078321E" w:rsidRPr="0078321E">
        <w:t>2</w:t>
      </w:r>
      <w:r w:rsidR="00335ED1" w:rsidRPr="0078321E">
        <w:t xml:space="preserve"> confirmed cases </w:t>
      </w:r>
      <w:r w:rsidR="0078321E" w:rsidRPr="0078321E">
        <w:t>were</w:t>
      </w:r>
      <w:r w:rsidRPr="0078321E">
        <w:t xml:space="preserve"> reported in </w:t>
      </w:r>
      <w:r w:rsidR="00E3016F" w:rsidRPr="0078321E">
        <w:t>Harrow</w:t>
      </w:r>
      <w:r w:rsidRPr="0078321E">
        <w:t xml:space="preserve">.  </w:t>
      </w:r>
      <w:r w:rsidRPr="00DB3239">
        <w:t>However, at 1.0/100,000 inhabitants, the rate of confirmed measles in NWL in 2017 was much lower than the previous year’s peak rate of 3.7/100,000 but higher than the rates from 2013 to 2015. The rate of confirmed mumps in NWL in 2017</w:t>
      </w:r>
      <w:r w:rsidRPr="0018552E">
        <w:t xml:space="preserve"> was 2.8/100,000 inhabitants, over twice the rate in 2016 (1.2/100,000) and the second annual increase in a row.</w:t>
      </w:r>
      <w:r>
        <w:t xml:space="preserve"> NHSE (London) are working with PHE Health Protection Teams as part of the London Immunisation Business Group to reduce the number of measles and mumps cases in the population by increasing uptake of MMR in the adolescent and adult populations as well as the under 5s. </w:t>
      </w:r>
    </w:p>
    <w:p w:rsidR="0018552E" w:rsidRDefault="0018552E" w:rsidP="00815046">
      <w:pPr>
        <w:ind w:left="360"/>
        <w:jc w:val="both"/>
      </w:pPr>
    </w:p>
    <w:p w:rsidR="00E81D99" w:rsidRDefault="00E81D99" w:rsidP="00815046">
      <w:pPr>
        <w:pStyle w:val="Heading1"/>
        <w:jc w:val="both"/>
      </w:pPr>
      <w:bookmarkStart w:id="21" w:name="_Toc531010373"/>
      <w:r>
        <w:t>Next Steps</w:t>
      </w:r>
      <w:bookmarkEnd w:id="21"/>
    </w:p>
    <w:p w:rsidR="00C01C87" w:rsidRPr="00B12469" w:rsidRDefault="00C01C87" w:rsidP="00815046">
      <w:pPr>
        <w:pStyle w:val="ListParagraph"/>
        <w:spacing w:after="60"/>
        <w:ind w:left="0"/>
        <w:jc w:val="both"/>
        <w:rPr>
          <w:rFonts w:asciiTheme="minorHAnsi" w:hAnsiTheme="minorHAnsi" w:cstheme="minorHAnsi"/>
          <w:color w:val="1F497D"/>
          <w:szCs w:val="24"/>
        </w:rPr>
      </w:pPr>
    </w:p>
    <w:p w:rsidR="00645907" w:rsidRDefault="00645907" w:rsidP="00815046">
      <w:pPr>
        <w:pStyle w:val="ListParagraph"/>
        <w:numPr>
          <w:ilvl w:val="0"/>
          <w:numId w:val="26"/>
        </w:numPr>
        <w:jc w:val="both"/>
        <w:rPr>
          <w:rFonts w:cs="Arial"/>
          <w:szCs w:val="24"/>
          <w:lang w:val="en-US"/>
        </w:rPr>
      </w:pPr>
      <w:r>
        <w:rPr>
          <w:rFonts w:cs="Arial"/>
          <w:szCs w:val="24"/>
          <w:lang w:val="en-US"/>
        </w:rPr>
        <w:t>NHSE (London) continues to work on delivering the WHO European and national strategies to improve coverage and to eliminate vaccine preventable diseases.  In London this is done through the London Immunisation Plan which is reviewed annually by the London Immunisation Partnership.</w:t>
      </w:r>
    </w:p>
    <w:p w:rsidR="00645907" w:rsidRPr="00645907" w:rsidRDefault="00645907" w:rsidP="00815046">
      <w:pPr>
        <w:pStyle w:val="ListParagraph"/>
        <w:numPr>
          <w:ilvl w:val="0"/>
          <w:numId w:val="26"/>
        </w:numPr>
        <w:jc w:val="both"/>
        <w:rPr>
          <w:rFonts w:cs="Arial"/>
          <w:szCs w:val="24"/>
          <w:lang w:val="en-US"/>
        </w:rPr>
      </w:pPr>
      <w:r>
        <w:rPr>
          <w:rFonts w:cs="Arial"/>
          <w:szCs w:val="24"/>
          <w:lang w:val="en-US"/>
        </w:rPr>
        <w:t xml:space="preserve">Quarterly assurance is provided on </w:t>
      </w:r>
      <w:r w:rsidR="00E3016F">
        <w:rPr>
          <w:rFonts w:cs="Arial"/>
          <w:szCs w:val="24"/>
          <w:lang w:val="en-US"/>
        </w:rPr>
        <w:t>Harrow</w:t>
      </w:r>
      <w:r>
        <w:rPr>
          <w:rFonts w:cs="Arial"/>
          <w:szCs w:val="24"/>
          <w:lang w:val="en-US"/>
        </w:rPr>
        <w:t xml:space="preserve"> through the NWL Immunisation Performance and Quality Board where challenges and solutions can be discussed around the performance data and the surveillance data.  </w:t>
      </w:r>
    </w:p>
    <w:sectPr w:rsidR="00645907" w:rsidRPr="00645907" w:rsidSect="00A876FC">
      <w:headerReference w:type="even" r:id="rId36"/>
      <w:headerReference w:type="default" r:id="rId37"/>
      <w:footerReference w:type="even" r:id="rId38"/>
      <w:footerReference w:type="default" r:id="rId39"/>
      <w:headerReference w:type="first" r:id="rId40"/>
      <w:footerReference w:type="first" r:id="rId41"/>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AB" w:rsidRDefault="00E739AB" w:rsidP="00A716D1">
      <w:r>
        <w:separator/>
      </w:r>
    </w:p>
  </w:endnote>
  <w:endnote w:type="continuationSeparator" w:id="0">
    <w:p w:rsidR="00E739AB" w:rsidRDefault="00E739AB"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PCYY+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B" w:rsidRDefault="00E739AB"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E739AB" w:rsidRDefault="00E739AB" w:rsidP="00A716D1">
    <w:pPr>
      <w:pStyle w:val="Footer"/>
    </w:pPr>
  </w:p>
  <w:p w:rsidR="00E739AB" w:rsidRDefault="00E739AB"/>
  <w:p w:rsidR="00E739AB" w:rsidRDefault="00E739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B" w:rsidRPr="00E01309" w:rsidRDefault="00E739AB"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E97638">
      <w:rPr>
        <w:rStyle w:val="PageNumber"/>
        <w:noProof/>
        <w:color w:val="A00054"/>
        <w:sz w:val="18"/>
        <w:szCs w:val="18"/>
      </w:rPr>
      <w:t>24</w:t>
    </w:r>
    <w:r w:rsidRPr="00E01309">
      <w:rPr>
        <w:rStyle w:val="PageNumber"/>
        <w:color w:val="A00054"/>
        <w:sz w:val="18"/>
        <w:szCs w:val="18"/>
      </w:rPr>
      <w:fldChar w:fldCharType="end"/>
    </w:r>
  </w:p>
  <w:p w:rsidR="00E739AB" w:rsidRDefault="00E739AB" w:rsidP="00A716D1">
    <w:pPr>
      <w:pStyle w:val="Footer"/>
    </w:pPr>
  </w:p>
  <w:p w:rsidR="00E739AB" w:rsidRDefault="00E739AB"/>
  <w:p w:rsidR="00E739AB" w:rsidRDefault="00E739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B" w:rsidRDefault="00E73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AB" w:rsidRDefault="00E739AB" w:rsidP="00A716D1">
      <w:r>
        <w:separator/>
      </w:r>
    </w:p>
  </w:footnote>
  <w:footnote w:type="continuationSeparator" w:id="0">
    <w:p w:rsidR="00E739AB" w:rsidRDefault="00E739AB"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B" w:rsidRDefault="00E73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B" w:rsidRDefault="00E97638" w:rsidP="0094253A">
    <w:pPr>
      <w:pStyle w:val="Header"/>
      <w:jc w:val="center"/>
    </w:pPr>
    <w:sdt>
      <w:sdtPr>
        <w:alias w:val="Protective Marking"/>
        <w:tag w:val="Protective Marking"/>
        <w:id w:val="1883817305"/>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r w:rsidR="00E739AB">
          <w:t>OFFICIAL</w:t>
        </w:r>
      </w:sdtContent>
    </w:sdt>
  </w:p>
  <w:p w:rsidR="00E739AB" w:rsidRDefault="00E739AB"/>
  <w:p w:rsidR="00E739AB" w:rsidRDefault="00E739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B" w:rsidRDefault="00E73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CEA"/>
    <w:multiLevelType w:val="multilevel"/>
    <w:tmpl w:val="FD5C39E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rPr>
    </w:lvl>
    <w:lvl w:ilvl="2">
      <w:start w:val="1"/>
      <w:numFmt w:val="bullet"/>
      <w:lvlText w:val="o"/>
      <w:lvlJc w:val="left"/>
      <w:pPr>
        <w:tabs>
          <w:tab w:val="num" w:pos="720"/>
        </w:tabs>
        <w:ind w:left="720" w:hanging="720"/>
      </w:pPr>
      <w:rPr>
        <w:rFonts w:ascii="Courier New" w:hAnsi="Courier New" w:cs="Courier New" w:hint="default"/>
        <w:sz w:val="22"/>
      </w:rPr>
    </w:lvl>
    <w:lvl w:ilvl="3">
      <w:start w:val="1"/>
      <w:numFmt w:val="bullet"/>
      <w:lvlText w:val="o"/>
      <w:lvlJc w:val="left"/>
      <w:pPr>
        <w:tabs>
          <w:tab w:val="num" w:pos="864"/>
        </w:tabs>
        <w:ind w:left="864" w:hanging="864"/>
      </w:pPr>
      <w:rPr>
        <w:rFonts w:ascii="Courier New" w:hAnsi="Courier New" w:cs="Courier New" w:hint="default"/>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38E1EE7"/>
    <w:multiLevelType w:val="hybridMultilevel"/>
    <w:tmpl w:val="53E257E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50C5324"/>
    <w:multiLevelType w:val="hybridMultilevel"/>
    <w:tmpl w:val="B4362B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D2401A"/>
    <w:multiLevelType w:val="hybridMultilevel"/>
    <w:tmpl w:val="B2D6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CF0854"/>
    <w:multiLevelType w:val="hybridMultilevel"/>
    <w:tmpl w:val="80BADCF6"/>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0A6F7CBF"/>
    <w:multiLevelType w:val="multilevel"/>
    <w:tmpl w:val="177E84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F7C2D05"/>
    <w:multiLevelType w:val="hybridMultilevel"/>
    <w:tmpl w:val="BD5E7478"/>
    <w:lvl w:ilvl="0" w:tplc="8E90AB46">
      <w:start w:val="1"/>
      <w:numFmt w:val="bullet"/>
      <w:lvlText w:val="•"/>
      <w:lvlJc w:val="left"/>
      <w:pPr>
        <w:tabs>
          <w:tab w:val="num" w:pos="720"/>
        </w:tabs>
        <w:ind w:left="720" w:hanging="360"/>
      </w:pPr>
      <w:rPr>
        <w:rFonts w:ascii="Arial" w:hAnsi="Arial" w:hint="default"/>
      </w:rPr>
    </w:lvl>
    <w:lvl w:ilvl="1" w:tplc="0EAC2784" w:tentative="1">
      <w:start w:val="1"/>
      <w:numFmt w:val="bullet"/>
      <w:lvlText w:val="•"/>
      <w:lvlJc w:val="left"/>
      <w:pPr>
        <w:tabs>
          <w:tab w:val="num" w:pos="1440"/>
        </w:tabs>
        <w:ind w:left="1440" w:hanging="360"/>
      </w:pPr>
      <w:rPr>
        <w:rFonts w:ascii="Arial" w:hAnsi="Arial" w:hint="default"/>
      </w:rPr>
    </w:lvl>
    <w:lvl w:ilvl="2" w:tplc="53A2EDDE" w:tentative="1">
      <w:start w:val="1"/>
      <w:numFmt w:val="bullet"/>
      <w:lvlText w:val="•"/>
      <w:lvlJc w:val="left"/>
      <w:pPr>
        <w:tabs>
          <w:tab w:val="num" w:pos="2160"/>
        </w:tabs>
        <w:ind w:left="2160" w:hanging="360"/>
      </w:pPr>
      <w:rPr>
        <w:rFonts w:ascii="Arial" w:hAnsi="Arial" w:hint="default"/>
      </w:rPr>
    </w:lvl>
    <w:lvl w:ilvl="3" w:tplc="EC04D728" w:tentative="1">
      <w:start w:val="1"/>
      <w:numFmt w:val="bullet"/>
      <w:lvlText w:val="•"/>
      <w:lvlJc w:val="left"/>
      <w:pPr>
        <w:tabs>
          <w:tab w:val="num" w:pos="2880"/>
        </w:tabs>
        <w:ind w:left="2880" w:hanging="360"/>
      </w:pPr>
      <w:rPr>
        <w:rFonts w:ascii="Arial" w:hAnsi="Arial" w:hint="default"/>
      </w:rPr>
    </w:lvl>
    <w:lvl w:ilvl="4" w:tplc="AEEAB7A4" w:tentative="1">
      <w:start w:val="1"/>
      <w:numFmt w:val="bullet"/>
      <w:lvlText w:val="•"/>
      <w:lvlJc w:val="left"/>
      <w:pPr>
        <w:tabs>
          <w:tab w:val="num" w:pos="3600"/>
        </w:tabs>
        <w:ind w:left="3600" w:hanging="360"/>
      </w:pPr>
      <w:rPr>
        <w:rFonts w:ascii="Arial" w:hAnsi="Arial" w:hint="default"/>
      </w:rPr>
    </w:lvl>
    <w:lvl w:ilvl="5" w:tplc="A8FC4A7E" w:tentative="1">
      <w:start w:val="1"/>
      <w:numFmt w:val="bullet"/>
      <w:lvlText w:val="•"/>
      <w:lvlJc w:val="left"/>
      <w:pPr>
        <w:tabs>
          <w:tab w:val="num" w:pos="4320"/>
        </w:tabs>
        <w:ind w:left="4320" w:hanging="360"/>
      </w:pPr>
      <w:rPr>
        <w:rFonts w:ascii="Arial" w:hAnsi="Arial" w:hint="default"/>
      </w:rPr>
    </w:lvl>
    <w:lvl w:ilvl="6" w:tplc="108887F2" w:tentative="1">
      <w:start w:val="1"/>
      <w:numFmt w:val="bullet"/>
      <w:lvlText w:val="•"/>
      <w:lvlJc w:val="left"/>
      <w:pPr>
        <w:tabs>
          <w:tab w:val="num" w:pos="5040"/>
        </w:tabs>
        <w:ind w:left="5040" w:hanging="360"/>
      </w:pPr>
      <w:rPr>
        <w:rFonts w:ascii="Arial" w:hAnsi="Arial" w:hint="default"/>
      </w:rPr>
    </w:lvl>
    <w:lvl w:ilvl="7" w:tplc="B4B4034E" w:tentative="1">
      <w:start w:val="1"/>
      <w:numFmt w:val="bullet"/>
      <w:lvlText w:val="•"/>
      <w:lvlJc w:val="left"/>
      <w:pPr>
        <w:tabs>
          <w:tab w:val="num" w:pos="5760"/>
        </w:tabs>
        <w:ind w:left="5760" w:hanging="360"/>
      </w:pPr>
      <w:rPr>
        <w:rFonts w:ascii="Arial" w:hAnsi="Arial" w:hint="default"/>
      </w:rPr>
    </w:lvl>
    <w:lvl w:ilvl="8" w:tplc="239432A4" w:tentative="1">
      <w:start w:val="1"/>
      <w:numFmt w:val="bullet"/>
      <w:lvlText w:val="•"/>
      <w:lvlJc w:val="left"/>
      <w:pPr>
        <w:tabs>
          <w:tab w:val="num" w:pos="6480"/>
        </w:tabs>
        <w:ind w:left="6480" w:hanging="360"/>
      </w:pPr>
      <w:rPr>
        <w:rFonts w:ascii="Arial" w:hAnsi="Arial" w:hint="default"/>
      </w:rPr>
    </w:lvl>
  </w:abstractNum>
  <w:abstractNum w:abstractNumId="7">
    <w:nsid w:val="18244FF2"/>
    <w:multiLevelType w:val="hybridMultilevel"/>
    <w:tmpl w:val="9C98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C2471"/>
    <w:multiLevelType w:val="hybridMultilevel"/>
    <w:tmpl w:val="6BE0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CE54B6"/>
    <w:multiLevelType w:val="hybridMultilevel"/>
    <w:tmpl w:val="77289A2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D124CFE0">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DF42A3"/>
    <w:multiLevelType w:val="hybridMultilevel"/>
    <w:tmpl w:val="791A5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EA5489"/>
    <w:multiLevelType w:val="hybridMultilevel"/>
    <w:tmpl w:val="80B8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F67763"/>
    <w:multiLevelType w:val="hybridMultilevel"/>
    <w:tmpl w:val="CC1A9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B50CB9"/>
    <w:multiLevelType w:val="hybridMultilevel"/>
    <w:tmpl w:val="944A4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1B51DC"/>
    <w:multiLevelType w:val="hybridMultilevel"/>
    <w:tmpl w:val="671A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E0BD9"/>
    <w:multiLevelType w:val="multilevel"/>
    <w:tmpl w:val="B65C87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00054" w:themeColor="accent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6C925E0"/>
    <w:multiLevelType w:val="hybridMultilevel"/>
    <w:tmpl w:val="53F2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D650AB"/>
    <w:multiLevelType w:val="hybridMultilevel"/>
    <w:tmpl w:val="EFFC1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6F1000"/>
    <w:multiLevelType w:val="hybridMultilevel"/>
    <w:tmpl w:val="548AA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CE06C0"/>
    <w:multiLevelType w:val="multilevel"/>
    <w:tmpl w:val="FD5C39E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rPr>
    </w:lvl>
    <w:lvl w:ilvl="2">
      <w:start w:val="1"/>
      <w:numFmt w:val="bullet"/>
      <w:lvlText w:val="o"/>
      <w:lvlJc w:val="left"/>
      <w:pPr>
        <w:tabs>
          <w:tab w:val="num" w:pos="720"/>
        </w:tabs>
        <w:ind w:left="720" w:hanging="720"/>
      </w:pPr>
      <w:rPr>
        <w:rFonts w:ascii="Courier New" w:hAnsi="Courier New" w:cs="Courier New" w:hint="default"/>
        <w:sz w:val="22"/>
      </w:rPr>
    </w:lvl>
    <w:lvl w:ilvl="3">
      <w:start w:val="1"/>
      <w:numFmt w:val="bullet"/>
      <w:lvlText w:val="o"/>
      <w:lvlJc w:val="left"/>
      <w:pPr>
        <w:tabs>
          <w:tab w:val="num" w:pos="864"/>
        </w:tabs>
        <w:ind w:left="864" w:hanging="864"/>
      </w:pPr>
      <w:rPr>
        <w:rFonts w:ascii="Courier New" w:hAnsi="Courier New" w:cs="Courier New" w:hint="default"/>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3508202A"/>
    <w:multiLevelType w:val="multilevel"/>
    <w:tmpl w:val="FD5C39EC"/>
    <w:lvl w:ilvl="0">
      <w:start w:val="1"/>
      <w:numFmt w:val="bullet"/>
      <w:lvlText w:val=""/>
      <w:lvlJc w:val="left"/>
      <w:pPr>
        <w:tabs>
          <w:tab w:val="num" w:pos="864"/>
        </w:tabs>
        <w:ind w:left="864" w:hanging="432"/>
      </w:pPr>
      <w:rPr>
        <w:rFonts w:ascii="Symbol" w:hAnsi="Symbol" w:hint="default"/>
      </w:rPr>
    </w:lvl>
    <w:lvl w:ilvl="1">
      <w:start w:val="1"/>
      <w:numFmt w:val="decimal"/>
      <w:lvlText w:val="%1.%2"/>
      <w:lvlJc w:val="left"/>
      <w:pPr>
        <w:tabs>
          <w:tab w:val="num" w:pos="1008"/>
        </w:tabs>
        <w:ind w:left="1008" w:hanging="576"/>
      </w:pPr>
      <w:rPr>
        <w:rFonts w:cs="Times New Roman"/>
      </w:rPr>
    </w:lvl>
    <w:lvl w:ilvl="2">
      <w:start w:val="1"/>
      <w:numFmt w:val="bullet"/>
      <w:lvlText w:val="o"/>
      <w:lvlJc w:val="left"/>
      <w:pPr>
        <w:tabs>
          <w:tab w:val="num" w:pos="1152"/>
        </w:tabs>
        <w:ind w:left="1152" w:hanging="720"/>
      </w:pPr>
      <w:rPr>
        <w:rFonts w:ascii="Courier New" w:hAnsi="Courier New" w:cs="Courier New" w:hint="default"/>
        <w:sz w:val="22"/>
      </w:rPr>
    </w:lvl>
    <w:lvl w:ilvl="3">
      <w:start w:val="1"/>
      <w:numFmt w:val="bullet"/>
      <w:lvlText w:val="o"/>
      <w:lvlJc w:val="left"/>
      <w:pPr>
        <w:tabs>
          <w:tab w:val="num" w:pos="1296"/>
        </w:tabs>
        <w:ind w:left="1296" w:hanging="864"/>
      </w:pPr>
      <w:rPr>
        <w:rFonts w:ascii="Courier New" w:hAnsi="Courier New" w:cs="Courier New" w:hint="default"/>
      </w:rPr>
    </w:lvl>
    <w:lvl w:ilvl="4">
      <w:start w:val="1"/>
      <w:numFmt w:val="decimal"/>
      <w:lvlText w:val="%1.%2.%3.%4.%5"/>
      <w:lvlJc w:val="left"/>
      <w:pPr>
        <w:tabs>
          <w:tab w:val="num" w:pos="1440"/>
        </w:tabs>
        <w:ind w:left="1440" w:hanging="1008"/>
      </w:pPr>
      <w:rPr>
        <w:rFonts w:cs="Times New Roman"/>
      </w:rPr>
    </w:lvl>
    <w:lvl w:ilvl="5">
      <w:start w:val="1"/>
      <w:numFmt w:val="decimal"/>
      <w:lvlText w:val="%1.%2.%3.%4.%5.%6"/>
      <w:lvlJc w:val="left"/>
      <w:pPr>
        <w:tabs>
          <w:tab w:val="num" w:pos="1584"/>
        </w:tabs>
        <w:ind w:left="1584" w:hanging="1152"/>
      </w:pPr>
      <w:rPr>
        <w:rFonts w:cs="Times New Roman"/>
      </w:rPr>
    </w:lvl>
    <w:lvl w:ilvl="6">
      <w:start w:val="1"/>
      <w:numFmt w:val="decimal"/>
      <w:lvlText w:val="%1.%2.%3.%4.%5.%6.%7"/>
      <w:lvlJc w:val="left"/>
      <w:pPr>
        <w:tabs>
          <w:tab w:val="num" w:pos="1728"/>
        </w:tabs>
        <w:ind w:left="1728" w:hanging="1296"/>
      </w:pPr>
      <w:rPr>
        <w:rFonts w:cs="Times New Roman"/>
      </w:rPr>
    </w:lvl>
    <w:lvl w:ilvl="7">
      <w:start w:val="1"/>
      <w:numFmt w:val="decimal"/>
      <w:lvlText w:val="%1.%2.%3.%4.%5.%6.%7.%8"/>
      <w:lvlJc w:val="left"/>
      <w:pPr>
        <w:tabs>
          <w:tab w:val="num" w:pos="1872"/>
        </w:tabs>
        <w:ind w:left="1872" w:hanging="1440"/>
      </w:pPr>
      <w:rPr>
        <w:rFonts w:cs="Times New Roman"/>
      </w:rPr>
    </w:lvl>
    <w:lvl w:ilvl="8">
      <w:start w:val="1"/>
      <w:numFmt w:val="decimal"/>
      <w:lvlText w:val="%1.%2.%3.%4.%5.%6.%7.%8.%9"/>
      <w:lvlJc w:val="left"/>
      <w:pPr>
        <w:tabs>
          <w:tab w:val="num" w:pos="2016"/>
        </w:tabs>
        <w:ind w:left="2016" w:hanging="1584"/>
      </w:pPr>
      <w:rPr>
        <w:rFonts w:cs="Times New Roman"/>
      </w:rPr>
    </w:lvl>
  </w:abstractNum>
  <w:abstractNum w:abstractNumId="21">
    <w:nsid w:val="3D2566DE"/>
    <w:multiLevelType w:val="hybridMultilevel"/>
    <w:tmpl w:val="384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F53224"/>
    <w:multiLevelType w:val="hybridMultilevel"/>
    <w:tmpl w:val="95C0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9F0CF7"/>
    <w:multiLevelType w:val="hybridMultilevel"/>
    <w:tmpl w:val="0060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57384C"/>
    <w:multiLevelType w:val="hybridMultilevel"/>
    <w:tmpl w:val="ED94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F60278"/>
    <w:multiLevelType w:val="hybridMultilevel"/>
    <w:tmpl w:val="743EF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C45D70"/>
    <w:multiLevelType w:val="hybridMultilevel"/>
    <w:tmpl w:val="126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B7194"/>
    <w:multiLevelType w:val="multilevel"/>
    <w:tmpl w:val="27C887D6"/>
    <w:lvl w:ilvl="0">
      <w:start w:val="1"/>
      <w:numFmt w:val="bullet"/>
      <w:lvlText w:val=""/>
      <w:lvlJc w:val="left"/>
      <w:pPr>
        <w:ind w:left="928" w:hanging="360"/>
      </w:pPr>
      <w:rPr>
        <w:rFonts w:ascii="Symbol" w:hAnsi="Symbol" w:hint="default"/>
      </w:rPr>
    </w:lvl>
    <w:lvl w:ilvl="1">
      <w:start w:val="2"/>
      <w:numFmt w:val="decimal"/>
      <w:isLgl/>
      <w:lvlText w:val="%1.%2."/>
      <w:lvlJc w:val="left"/>
      <w:pPr>
        <w:ind w:left="1288" w:hanging="720"/>
      </w:pPr>
      <w:rPr>
        <w:rFonts w:hint="default"/>
        <w:color w:val="000000"/>
      </w:rPr>
    </w:lvl>
    <w:lvl w:ilvl="2">
      <w:start w:val="1"/>
      <w:numFmt w:val="decimal"/>
      <w:isLgl/>
      <w:lvlText w:val="%1.%2.%3."/>
      <w:lvlJc w:val="left"/>
      <w:pPr>
        <w:ind w:left="1288" w:hanging="720"/>
      </w:pPr>
      <w:rPr>
        <w:rFonts w:hint="default"/>
        <w:color w:val="000000"/>
      </w:rPr>
    </w:lvl>
    <w:lvl w:ilvl="3">
      <w:start w:val="1"/>
      <w:numFmt w:val="decimal"/>
      <w:isLgl/>
      <w:lvlText w:val="%1.%2.%3.%4."/>
      <w:lvlJc w:val="left"/>
      <w:pPr>
        <w:ind w:left="1648"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008" w:hanging="144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28">
    <w:nsid w:val="4FB77210"/>
    <w:multiLevelType w:val="hybridMultilevel"/>
    <w:tmpl w:val="3CD2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EC5BA4"/>
    <w:multiLevelType w:val="hybridMultilevel"/>
    <w:tmpl w:val="D0C8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B17192"/>
    <w:multiLevelType w:val="hybridMultilevel"/>
    <w:tmpl w:val="7984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DB2017"/>
    <w:multiLevelType w:val="hybridMultilevel"/>
    <w:tmpl w:val="393AE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626219"/>
    <w:multiLevelType w:val="hybridMultilevel"/>
    <w:tmpl w:val="54A6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A78DE"/>
    <w:multiLevelType w:val="multilevel"/>
    <w:tmpl w:val="3CB65F74"/>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color w:val="000000"/>
      </w:rPr>
    </w:lvl>
    <w:lvl w:ilvl="2">
      <w:start w:val="1"/>
      <w:numFmt w:val="decimal"/>
      <w:isLgl/>
      <w:lvlText w:val="%1.%2.%3."/>
      <w:lvlJc w:val="left"/>
      <w:pPr>
        <w:ind w:left="1288" w:hanging="720"/>
      </w:pPr>
      <w:rPr>
        <w:rFonts w:hint="default"/>
        <w:color w:val="000000"/>
      </w:rPr>
    </w:lvl>
    <w:lvl w:ilvl="3">
      <w:start w:val="1"/>
      <w:numFmt w:val="decimal"/>
      <w:isLgl/>
      <w:lvlText w:val="%1.%2.%3.%4."/>
      <w:lvlJc w:val="left"/>
      <w:pPr>
        <w:ind w:left="1648"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008" w:hanging="144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34">
    <w:nsid w:val="60822DD2"/>
    <w:multiLevelType w:val="hybridMultilevel"/>
    <w:tmpl w:val="E9142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146052E"/>
    <w:multiLevelType w:val="multilevel"/>
    <w:tmpl w:val="C994E21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nsid w:val="6207628A"/>
    <w:multiLevelType w:val="hybridMultilevel"/>
    <w:tmpl w:val="33C8DABA"/>
    <w:lvl w:ilvl="0" w:tplc="CB5E73FE">
      <w:start w:val="1"/>
      <w:numFmt w:val="bullet"/>
      <w:lvlText w:val="•"/>
      <w:lvlJc w:val="left"/>
      <w:pPr>
        <w:tabs>
          <w:tab w:val="num" w:pos="720"/>
        </w:tabs>
        <w:ind w:left="720" w:hanging="360"/>
      </w:pPr>
      <w:rPr>
        <w:rFonts w:ascii="Arial" w:hAnsi="Arial" w:hint="default"/>
      </w:rPr>
    </w:lvl>
    <w:lvl w:ilvl="1" w:tplc="7912059C" w:tentative="1">
      <w:start w:val="1"/>
      <w:numFmt w:val="bullet"/>
      <w:lvlText w:val="•"/>
      <w:lvlJc w:val="left"/>
      <w:pPr>
        <w:tabs>
          <w:tab w:val="num" w:pos="1440"/>
        </w:tabs>
        <w:ind w:left="1440" w:hanging="360"/>
      </w:pPr>
      <w:rPr>
        <w:rFonts w:ascii="Arial" w:hAnsi="Arial" w:hint="default"/>
      </w:rPr>
    </w:lvl>
    <w:lvl w:ilvl="2" w:tplc="7A707738" w:tentative="1">
      <w:start w:val="1"/>
      <w:numFmt w:val="bullet"/>
      <w:lvlText w:val="•"/>
      <w:lvlJc w:val="left"/>
      <w:pPr>
        <w:tabs>
          <w:tab w:val="num" w:pos="2160"/>
        </w:tabs>
        <w:ind w:left="2160" w:hanging="360"/>
      </w:pPr>
      <w:rPr>
        <w:rFonts w:ascii="Arial" w:hAnsi="Arial" w:hint="default"/>
      </w:rPr>
    </w:lvl>
    <w:lvl w:ilvl="3" w:tplc="F988A3A0" w:tentative="1">
      <w:start w:val="1"/>
      <w:numFmt w:val="bullet"/>
      <w:lvlText w:val="•"/>
      <w:lvlJc w:val="left"/>
      <w:pPr>
        <w:tabs>
          <w:tab w:val="num" w:pos="2880"/>
        </w:tabs>
        <w:ind w:left="2880" w:hanging="360"/>
      </w:pPr>
      <w:rPr>
        <w:rFonts w:ascii="Arial" w:hAnsi="Arial" w:hint="default"/>
      </w:rPr>
    </w:lvl>
    <w:lvl w:ilvl="4" w:tplc="CE1817A8" w:tentative="1">
      <w:start w:val="1"/>
      <w:numFmt w:val="bullet"/>
      <w:lvlText w:val="•"/>
      <w:lvlJc w:val="left"/>
      <w:pPr>
        <w:tabs>
          <w:tab w:val="num" w:pos="3600"/>
        </w:tabs>
        <w:ind w:left="3600" w:hanging="360"/>
      </w:pPr>
      <w:rPr>
        <w:rFonts w:ascii="Arial" w:hAnsi="Arial" w:hint="default"/>
      </w:rPr>
    </w:lvl>
    <w:lvl w:ilvl="5" w:tplc="FF46BF6A" w:tentative="1">
      <w:start w:val="1"/>
      <w:numFmt w:val="bullet"/>
      <w:lvlText w:val="•"/>
      <w:lvlJc w:val="left"/>
      <w:pPr>
        <w:tabs>
          <w:tab w:val="num" w:pos="4320"/>
        </w:tabs>
        <w:ind w:left="4320" w:hanging="360"/>
      </w:pPr>
      <w:rPr>
        <w:rFonts w:ascii="Arial" w:hAnsi="Arial" w:hint="default"/>
      </w:rPr>
    </w:lvl>
    <w:lvl w:ilvl="6" w:tplc="FA869B06" w:tentative="1">
      <w:start w:val="1"/>
      <w:numFmt w:val="bullet"/>
      <w:lvlText w:val="•"/>
      <w:lvlJc w:val="left"/>
      <w:pPr>
        <w:tabs>
          <w:tab w:val="num" w:pos="5040"/>
        </w:tabs>
        <w:ind w:left="5040" w:hanging="360"/>
      </w:pPr>
      <w:rPr>
        <w:rFonts w:ascii="Arial" w:hAnsi="Arial" w:hint="default"/>
      </w:rPr>
    </w:lvl>
    <w:lvl w:ilvl="7" w:tplc="DCBCDA9E" w:tentative="1">
      <w:start w:val="1"/>
      <w:numFmt w:val="bullet"/>
      <w:lvlText w:val="•"/>
      <w:lvlJc w:val="left"/>
      <w:pPr>
        <w:tabs>
          <w:tab w:val="num" w:pos="5760"/>
        </w:tabs>
        <w:ind w:left="5760" w:hanging="360"/>
      </w:pPr>
      <w:rPr>
        <w:rFonts w:ascii="Arial" w:hAnsi="Arial" w:hint="default"/>
      </w:rPr>
    </w:lvl>
    <w:lvl w:ilvl="8" w:tplc="8CC042A0" w:tentative="1">
      <w:start w:val="1"/>
      <w:numFmt w:val="bullet"/>
      <w:lvlText w:val="•"/>
      <w:lvlJc w:val="left"/>
      <w:pPr>
        <w:tabs>
          <w:tab w:val="num" w:pos="6480"/>
        </w:tabs>
        <w:ind w:left="6480" w:hanging="360"/>
      </w:pPr>
      <w:rPr>
        <w:rFonts w:ascii="Arial" w:hAnsi="Arial" w:hint="default"/>
      </w:rPr>
    </w:lvl>
  </w:abstractNum>
  <w:abstractNum w:abstractNumId="37">
    <w:nsid w:val="65BC3700"/>
    <w:multiLevelType w:val="hybridMultilevel"/>
    <w:tmpl w:val="6578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C8633E"/>
    <w:multiLevelType w:val="multilevel"/>
    <w:tmpl w:val="27C887D6"/>
    <w:lvl w:ilvl="0">
      <w:start w:val="1"/>
      <w:numFmt w:val="bullet"/>
      <w:lvlText w:val=""/>
      <w:lvlJc w:val="left"/>
      <w:pPr>
        <w:ind w:left="928" w:hanging="360"/>
      </w:pPr>
      <w:rPr>
        <w:rFonts w:ascii="Symbol" w:hAnsi="Symbol" w:hint="default"/>
      </w:rPr>
    </w:lvl>
    <w:lvl w:ilvl="1">
      <w:start w:val="2"/>
      <w:numFmt w:val="decimal"/>
      <w:isLgl/>
      <w:lvlText w:val="%1.%2."/>
      <w:lvlJc w:val="left"/>
      <w:pPr>
        <w:ind w:left="1288" w:hanging="720"/>
      </w:pPr>
      <w:rPr>
        <w:rFonts w:hint="default"/>
        <w:color w:val="000000"/>
      </w:rPr>
    </w:lvl>
    <w:lvl w:ilvl="2">
      <w:start w:val="1"/>
      <w:numFmt w:val="decimal"/>
      <w:isLgl/>
      <w:lvlText w:val="%1.%2.%3."/>
      <w:lvlJc w:val="left"/>
      <w:pPr>
        <w:ind w:left="1288" w:hanging="720"/>
      </w:pPr>
      <w:rPr>
        <w:rFonts w:hint="default"/>
        <w:color w:val="000000"/>
      </w:rPr>
    </w:lvl>
    <w:lvl w:ilvl="3">
      <w:start w:val="1"/>
      <w:numFmt w:val="decimal"/>
      <w:isLgl/>
      <w:lvlText w:val="%1.%2.%3.%4."/>
      <w:lvlJc w:val="left"/>
      <w:pPr>
        <w:ind w:left="1648"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008" w:hanging="144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39">
    <w:nsid w:val="679F0A2E"/>
    <w:multiLevelType w:val="hybridMultilevel"/>
    <w:tmpl w:val="9382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AA1EF1"/>
    <w:multiLevelType w:val="hybridMultilevel"/>
    <w:tmpl w:val="7F80EB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D8841A8"/>
    <w:multiLevelType w:val="hybridMultilevel"/>
    <w:tmpl w:val="11A6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364AED"/>
    <w:multiLevelType w:val="hybridMultilevel"/>
    <w:tmpl w:val="DFDA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BA1875"/>
    <w:multiLevelType w:val="hybridMultilevel"/>
    <w:tmpl w:val="CB76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620B54"/>
    <w:multiLevelType w:val="hybridMultilevel"/>
    <w:tmpl w:val="944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6E0CD3"/>
    <w:multiLevelType w:val="hybridMultilevel"/>
    <w:tmpl w:val="0394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5"/>
  </w:num>
  <w:num w:numId="3">
    <w:abstractNumId w:val="31"/>
  </w:num>
  <w:num w:numId="4">
    <w:abstractNumId w:val="42"/>
  </w:num>
  <w:num w:numId="5">
    <w:abstractNumId w:val="25"/>
  </w:num>
  <w:num w:numId="6">
    <w:abstractNumId w:val="45"/>
  </w:num>
  <w:num w:numId="7">
    <w:abstractNumId w:val="29"/>
  </w:num>
  <w:num w:numId="8">
    <w:abstractNumId w:val="28"/>
  </w:num>
  <w:num w:numId="9">
    <w:abstractNumId w:val="24"/>
  </w:num>
  <w:num w:numId="10">
    <w:abstractNumId w:val="7"/>
  </w:num>
  <w:num w:numId="11">
    <w:abstractNumId w:val="11"/>
  </w:num>
  <w:num w:numId="12">
    <w:abstractNumId w:val="8"/>
  </w:num>
  <w:num w:numId="13">
    <w:abstractNumId w:val="21"/>
  </w:num>
  <w:num w:numId="14">
    <w:abstractNumId w:val="4"/>
  </w:num>
  <w:num w:numId="15">
    <w:abstractNumId w:val="30"/>
  </w:num>
  <w:num w:numId="16">
    <w:abstractNumId w:val="39"/>
  </w:num>
  <w:num w:numId="17">
    <w:abstractNumId w:val="32"/>
  </w:num>
  <w:num w:numId="18">
    <w:abstractNumId w:val="2"/>
  </w:num>
  <w:num w:numId="19">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19"/>
  </w:num>
  <w:num w:numId="23">
    <w:abstractNumId w:val="1"/>
  </w:num>
  <w:num w:numId="24">
    <w:abstractNumId w:val="35"/>
  </w:num>
  <w:num w:numId="25">
    <w:abstractNumId w:val="5"/>
  </w:num>
  <w:num w:numId="26">
    <w:abstractNumId w:val="26"/>
  </w:num>
  <w:num w:numId="27">
    <w:abstractNumId w:val="37"/>
  </w:num>
  <w:num w:numId="28">
    <w:abstractNumId w:val="3"/>
  </w:num>
  <w:num w:numId="29">
    <w:abstractNumId w:val="41"/>
  </w:num>
  <w:num w:numId="30">
    <w:abstractNumId w:val="3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8"/>
  </w:num>
  <w:num w:numId="34">
    <w:abstractNumId w:val="27"/>
  </w:num>
  <w:num w:numId="35">
    <w:abstractNumId w:val="13"/>
  </w:num>
  <w:num w:numId="36">
    <w:abstractNumId w:val="12"/>
  </w:num>
  <w:num w:numId="37">
    <w:abstractNumId w:val="17"/>
  </w:num>
  <w:num w:numId="38">
    <w:abstractNumId w:val="9"/>
  </w:num>
  <w:num w:numId="39">
    <w:abstractNumId w:val="16"/>
  </w:num>
  <w:num w:numId="40">
    <w:abstractNumId w:val="40"/>
  </w:num>
  <w:num w:numId="41">
    <w:abstractNumId w:val="18"/>
  </w:num>
  <w:num w:numId="42">
    <w:abstractNumId w:val="34"/>
  </w:num>
  <w:num w:numId="43">
    <w:abstractNumId w:val="23"/>
  </w:num>
  <w:num w:numId="44">
    <w:abstractNumId w:val="46"/>
  </w:num>
  <w:num w:numId="45">
    <w:abstractNumId w:val="14"/>
  </w:num>
  <w:num w:numId="46">
    <w:abstractNumId w:val="44"/>
  </w:num>
  <w:num w:numId="47">
    <w:abstractNumId w:val="22"/>
  </w:num>
  <w:num w:numId="48">
    <w:abstractNumId w:val="36"/>
  </w:num>
  <w:num w:numId="49">
    <w:abstractNumId w:val="10"/>
  </w:num>
  <w:num w:numId="5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23F2"/>
    <w:rsid w:val="00003A4F"/>
    <w:rsid w:val="00005D77"/>
    <w:rsid w:val="00011867"/>
    <w:rsid w:val="0002174B"/>
    <w:rsid w:val="00021FB9"/>
    <w:rsid w:val="000236F2"/>
    <w:rsid w:val="00023944"/>
    <w:rsid w:val="00025122"/>
    <w:rsid w:val="00031797"/>
    <w:rsid w:val="000325BD"/>
    <w:rsid w:val="00032F7D"/>
    <w:rsid w:val="00036314"/>
    <w:rsid w:val="000419B4"/>
    <w:rsid w:val="000423B5"/>
    <w:rsid w:val="000444E0"/>
    <w:rsid w:val="000450FA"/>
    <w:rsid w:val="0004713C"/>
    <w:rsid w:val="0004773D"/>
    <w:rsid w:val="00050314"/>
    <w:rsid w:val="0005307E"/>
    <w:rsid w:val="00055930"/>
    <w:rsid w:val="00062F38"/>
    <w:rsid w:val="00065DA1"/>
    <w:rsid w:val="00083253"/>
    <w:rsid w:val="00083D3D"/>
    <w:rsid w:val="000A3052"/>
    <w:rsid w:val="000A3652"/>
    <w:rsid w:val="000A3A89"/>
    <w:rsid w:val="000A4053"/>
    <w:rsid w:val="000A5B76"/>
    <w:rsid w:val="000B7D93"/>
    <w:rsid w:val="000C6392"/>
    <w:rsid w:val="000D1396"/>
    <w:rsid w:val="000D18EB"/>
    <w:rsid w:val="000D4D74"/>
    <w:rsid w:val="000F1EC2"/>
    <w:rsid w:val="000F3DB1"/>
    <w:rsid w:val="000F4DBF"/>
    <w:rsid w:val="00102A99"/>
    <w:rsid w:val="00103EE7"/>
    <w:rsid w:val="001100F5"/>
    <w:rsid w:val="00114617"/>
    <w:rsid w:val="0011783B"/>
    <w:rsid w:val="0012009D"/>
    <w:rsid w:val="00123ECA"/>
    <w:rsid w:val="001245BC"/>
    <w:rsid w:val="001264F6"/>
    <w:rsid w:val="00130C58"/>
    <w:rsid w:val="00140769"/>
    <w:rsid w:val="00145464"/>
    <w:rsid w:val="00151F14"/>
    <w:rsid w:val="00152FB6"/>
    <w:rsid w:val="00154246"/>
    <w:rsid w:val="00157CA1"/>
    <w:rsid w:val="00160B5F"/>
    <w:rsid w:val="0016351F"/>
    <w:rsid w:val="00166B82"/>
    <w:rsid w:val="00174767"/>
    <w:rsid w:val="00174C63"/>
    <w:rsid w:val="001763AC"/>
    <w:rsid w:val="00183961"/>
    <w:rsid w:val="0018552E"/>
    <w:rsid w:val="001A2974"/>
    <w:rsid w:val="001A3439"/>
    <w:rsid w:val="001B0C18"/>
    <w:rsid w:val="001B3AEF"/>
    <w:rsid w:val="001B4E4B"/>
    <w:rsid w:val="001C0847"/>
    <w:rsid w:val="001C185A"/>
    <w:rsid w:val="001C2EC2"/>
    <w:rsid w:val="001C3BEB"/>
    <w:rsid w:val="001C72AA"/>
    <w:rsid w:val="001D6603"/>
    <w:rsid w:val="001E005E"/>
    <w:rsid w:val="001E1FE0"/>
    <w:rsid w:val="001E477C"/>
    <w:rsid w:val="001E574F"/>
    <w:rsid w:val="001F0AC4"/>
    <w:rsid w:val="00206B62"/>
    <w:rsid w:val="0021196D"/>
    <w:rsid w:val="0021346C"/>
    <w:rsid w:val="00220ACB"/>
    <w:rsid w:val="0022158B"/>
    <w:rsid w:val="00222A7E"/>
    <w:rsid w:val="002423D5"/>
    <w:rsid w:val="0025692A"/>
    <w:rsid w:val="00257083"/>
    <w:rsid w:val="002658D3"/>
    <w:rsid w:val="00265973"/>
    <w:rsid w:val="00277424"/>
    <w:rsid w:val="00277616"/>
    <w:rsid w:val="00282137"/>
    <w:rsid w:val="00284A63"/>
    <w:rsid w:val="00284BDE"/>
    <w:rsid w:val="002909B1"/>
    <w:rsid w:val="002A08F7"/>
    <w:rsid w:val="002A0C8D"/>
    <w:rsid w:val="002A2110"/>
    <w:rsid w:val="002A4562"/>
    <w:rsid w:val="002B4391"/>
    <w:rsid w:val="002B6970"/>
    <w:rsid w:val="002C0120"/>
    <w:rsid w:val="002C542F"/>
    <w:rsid w:val="002D10DE"/>
    <w:rsid w:val="002D22E9"/>
    <w:rsid w:val="002D64C6"/>
    <w:rsid w:val="002E34F4"/>
    <w:rsid w:val="002E4212"/>
    <w:rsid w:val="002F0C98"/>
    <w:rsid w:val="002F6A1D"/>
    <w:rsid w:val="00300F0C"/>
    <w:rsid w:val="00301801"/>
    <w:rsid w:val="00307103"/>
    <w:rsid w:val="00315F02"/>
    <w:rsid w:val="003166BE"/>
    <w:rsid w:val="00320A32"/>
    <w:rsid w:val="003232A8"/>
    <w:rsid w:val="00325C91"/>
    <w:rsid w:val="00325D24"/>
    <w:rsid w:val="003357B2"/>
    <w:rsid w:val="00335ED1"/>
    <w:rsid w:val="00336B67"/>
    <w:rsid w:val="0034124D"/>
    <w:rsid w:val="003414E3"/>
    <w:rsid w:val="003441E5"/>
    <w:rsid w:val="00344C9D"/>
    <w:rsid w:val="0034545E"/>
    <w:rsid w:val="00346F2C"/>
    <w:rsid w:val="00356284"/>
    <w:rsid w:val="00366234"/>
    <w:rsid w:val="00377495"/>
    <w:rsid w:val="00397E3E"/>
    <w:rsid w:val="003A13D3"/>
    <w:rsid w:val="003A7332"/>
    <w:rsid w:val="003B2D5D"/>
    <w:rsid w:val="003B3176"/>
    <w:rsid w:val="003B511C"/>
    <w:rsid w:val="003C064C"/>
    <w:rsid w:val="003C1228"/>
    <w:rsid w:val="003C3BFA"/>
    <w:rsid w:val="003D30B5"/>
    <w:rsid w:val="003E1210"/>
    <w:rsid w:val="003E1C1F"/>
    <w:rsid w:val="003E2063"/>
    <w:rsid w:val="003E286C"/>
    <w:rsid w:val="003F4F0A"/>
    <w:rsid w:val="00404527"/>
    <w:rsid w:val="00410D01"/>
    <w:rsid w:val="0041761B"/>
    <w:rsid w:val="004409E2"/>
    <w:rsid w:val="00441A4F"/>
    <w:rsid w:val="00445EDF"/>
    <w:rsid w:val="0045224B"/>
    <w:rsid w:val="004541AF"/>
    <w:rsid w:val="00463259"/>
    <w:rsid w:val="004704A2"/>
    <w:rsid w:val="004813F1"/>
    <w:rsid w:val="004836A9"/>
    <w:rsid w:val="004863FB"/>
    <w:rsid w:val="004937A2"/>
    <w:rsid w:val="004A0F76"/>
    <w:rsid w:val="004A5FCD"/>
    <w:rsid w:val="004B1666"/>
    <w:rsid w:val="004C1FD2"/>
    <w:rsid w:val="004D3580"/>
    <w:rsid w:val="004D67DD"/>
    <w:rsid w:val="004D73D1"/>
    <w:rsid w:val="004E2398"/>
    <w:rsid w:val="004E2582"/>
    <w:rsid w:val="004E52A3"/>
    <w:rsid w:val="004E68BE"/>
    <w:rsid w:val="00502B37"/>
    <w:rsid w:val="0050429E"/>
    <w:rsid w:val="005045B3"/>
    <w:rsid w:val="005076EE"/>
    <w:rsid w:val="00513964"/>
    <w:rsid w:val="00525F9D"/>
    <w:rsid w:val="00530086"/>
    <w:rsid w:val="00530DE4"/>
    <w:rsid w:val="00533303"/>
    <w:rsid w:val="00534C38"/>
    <w:rsid w:val="00535143"/>
    <w:rsid w:val="005417B1"/>
    <w:rsid w:val="00546371"/>
    <w:rsid w:val="0055404C"/>
    <w:rsid w:val="005629D1"/>
    <w:rsid w:val="00571077"/>
    <w:rsid w:val="00571161"/>
    <w:rsid w:val="00571197"/>
    <w:rsid w:val="00585C9B"/>
    <w:rsid w:val="005868D0"/>
    <w:rsid w:val="00591DC7"/>
    <w:rsid w:val="00594228"/>
    <w:rsid w:val="005A20E8"/>
    <w:rsid w:val="005A3C31"/>
    <w:rsid w:val="005A4CC8"/>
    <w:rsid w:val="005A5549"/>
    <w:rsid w:val="005A72AB"/>
    <w:rsid w:val="005B40B1"/>
    <w:rsid w:val="005B77AD"/>
    <w:rsid w:val="005C3598"/>
    <w:rsid w:val="005C5EAF"/>
    <w:rsid w:val="005D6B38"/>
    <w:rsid w:val="005E65DC"/>
    <w:rsid w:val="005E7DAA"/>
    <w:rsid w:val="006103F6"/>
    <w:rsid w:val="00612131"/>
    <w:rsid w:val="00612EF5"/>
    <w:rsid w:val="00620CF8"/>
    <w:rsid w:val="00620D56"/>
    <w:rsid w:val="006240CA"/>
    <w:rsid w:val="00625595"/>
    <w:rsid w:val="00630C83"/>
    <w:rsid w:val="00633233"/>
    <w:rsid w:val="00636737"/>
    <w:rsid w:val="0064147C"/>
    <w:rsid w:val="00642CA7"/>
    <w:rsid w:val="00645907"/>
    <w:rsid w:val="00655310"/>
    <w:rsid w:val="00660C11"/>
    <w:rsid w:val="00662153"/>
    <w:rsid w:val="00664145"/>
    <w:rsid w:val="00667190"/>
    <w:rsid w:val="00667E6C"/>
    <w:rsid w:val="00672233"/>
    <w:rsid w:val="00672A13"/>
    <w:rsid w:val="006731B7"/>
    <w:rsid w:val="00675F2A"/>
    <w:rsid w:val="00683A9F"/>
    <w:rsid w:val="00693444"/>
    <w:rsid w:val="0069518C"/>
    <w:rsid w:val="00697DD9"/>
    <w:rsid w:val="006A0B73"/>
    <w:rsid w:val="006A5C70"/>
    <w:rsid w:val="006A6D55"/>
    <w:rsid w:val="006B3173"/>
    <w:rsid w:val="006B4762"/>
    <w:rsid w:val="006B48F1"/>
    <w:rsid w:val="006B73A0"/>
    <w:rsid w:val="006C1CA1"/>
    <w:rsid w:val="006C5902"/>
    <w:rsid w:val="006D157D"/>
    <w:rsid w:val="006D4362"/>
    <w:rsid w:val="006D7C46"/>
    <w:rsid w:val="006E1D5C"/>
    <w:rsid w:val="006E56FF"/>
    <w:rsid w:val="006E5A6B"/>
    <w:rsid w:val="006F1C7A"/>
    <w:rsid w:val="006F4CDF"/>
    <w:rsid w:val="006F595D"/>
    <w:rsid w:val="006F6EE6"/>
    <w:rsid w:val="006F7C3F"/>
    <w:rsid w:val="00702938"/>
    <w:rsid w:val="00703011"/>
    <w:rsid w:val="00706202"/>
    <w:rsid w:val="00706D72"/>
    <w:rsid w:val="0071074D"/>
    <w:rsid w:val="00720317"/>
    <w:rsid w:val="00721718"/>
    <w:rsid w:val="00721EF8"/>
    <w:rsid w:val="00724976"/>
    <w:rsid w:val="00730812"/>
    <w:rsid w:val="00733513"/>
    <w:rsid w:val="007410D1"/>
    <w:rsid w:val="00741547"/>
    <w:rsid w:val="00744FD1"/>
    <w:rsid w:val="00745F92"/>
    <w:rsid w:val="007476D9"/>
    <w:rsid w:val="0075752C"/>
    <w:rsid w:val="007617CF"/>
    <w:rsid w:val="0076371E"/>
    <w:rsid w:val="007642F4"/>
    <w:rsid w:val="00764AD2"/>
    <w:rsid w:val="007719D2"/>
    <w:rsid w:val="00771EC4"/>
    <w:rsid w:val="0077503F"/>
    <w:rsid w:val="0078321E"/>
    <w:rsid w:val="00785EED"/>
    <w:rsid w:val="00792658"/>
    <w:rsid w:val="0079347A"/>
    <w:rsid w:val="00796445"/>
    <w:rsid w:val="007B295E"/>
    <w:rsid w:val="007B5AC1"/>
    <w:rsid w:val="007B756E"/>
    <w:rsid w:val="007D2764"/>
    <w:rsid w:val="007D3B19"/>
    <w:rsid w:val="007D7DDA"/>
    <w:rsid w:val="007E08F7"/>
    <w:rsid w:val="007E3419"/>
    <w:rsid w:val="007E4B13"/>
    <w:rsid w:val="007E6A76"/>
    <w:rsid w:val="007E7BDF"/>
    <w:rsid w:val="007F0918"/>
    <w:rsid w:val="007F12B7"/>
    <w:rsid w:val="007F4FBF"/>
    <w:rsid w:val="00800A26"/>
    <w:rsid w:val="00811539"/>
    <w:rsid w:val="00815046"/>
    <w:rsid w:val="00821E02"/>
    <w:rsid w:val="00830CA9"/>
    <w:rsid w:val="0085549A"/>
    <w:rsid w:val="008645ED"/>
    <w:rsid w:val="0086508D"/>
    <w:rsid w:val="008669F8"/>
    <w:rsid w:val="0087034A"/>
    <w:rsid w:val="008704CB"/>
    <w:rsid w:val="00870953"/>
    <w:rsid w:val="008736A5"/>
    <w:rsid w:val="00876505"/>
    <w:rsid w:val="00877C86"/>
    <w:rsid w:val="00894880"/>
    <w:rsid w:val="008A0CEE"/>
    <w:rsid w:val="008A1B7B"/>
    <w:rsid w:val="008A4B40"/>
    <w:rsid w:val="008A5DEE"/>
    <w:rsid w:val="008A6FBA"/>
    <w:rsid w:val="008B63E1"/>
    <w:rsid w:val="008B6D5B"/>
    <w:rsid w:val="008B71E5"/>
    <w:rsid w:val="008C174F"/>
    <w:rsid w:val="008C7B5B"/>
    <w:rsid w:val="008D1D3C"/>
    <w:rsid w:val="008D58DD"/>
    <w:rsid w:val="008D7487"/>
    <w:rsid w:val="008E2420"/>
    <w:rsid w:val="008E2DD2"/>
    <w:rsid w:val="008E56E3"/>
    <w:rsid w:val="008F02AD"/>
    <w:rsid w:val="008F553F"/>
    <w:rsid w:val="0090040F"/>
    <w:rsid w:val="00902CBB"/>
    <w:rsid w:val="009035A6"/>
    <w:rsid w:val="00910BC4"/>
    <w:rsid w:val="00911740"/>
    <w:rsid w:val="00914094"/>
    <w:rsid w:val="00925E9D"/>
    <w:rsid w:val="0093048E"/>
    <w:rsid w:val="0094253A"/>
    <w:rsid w:val="00947CBB"/>
    <w:rsid w:val="00952902"/>
    <w:rsid w:val="00954339"/>
    <w:rsid w:val="00955EFA"/>
    <w:rsid w:val="00973CAE"/>
    <w:rsid w:val="00976D8E"/>
    <w:rsid w:val="009904D1"/>
    <w:rsid w:val="00990557"/>
    <w:rsid w:val="00996101"/>
    <w:rsid w:val="00997AC3"/>
    <w:rsid w:val="009A3546"/>
    <w:rsid w:val="009A5B3F"/>
    <w:rsid w:val="009B7A3B"/>
    <w:rsid w:val="009C1302"/>
    <w:rsid w:val="009C31CB"/>
    <w:rsid w:val="009C3A3D"/>
    <w:rsid w:val="009C4BCA"/>
    <w:rsid w:val="009D0885"/>
    <w:rsid w:val="009D0D99"/>
    <w:rsid w:val="009D7A81"/>
    <w:rsid w:val="009E4847"/>
    <w:rsid w:val="009E613F"/>
    <w:rsid w:val="009E7D03"/>
    <w:rsid w:val="009F06A9"/>
    <w:rsid w:val="009F4B35"/>
    <w:rsid w:val="00A04697"/>
    <w:rsid w:val="00A1290D"/>
    <w:rsid w:val="00A2093B"/>
    <w:rsid w:val="00A2449E"/>
    <w:rsid w:val="00A358E0"/>
    <w:rsid w:val="00A41DC9"/>
    <w:rsid w:val="00A4250E"/>
    <w:rsid w:val="00A42FE0"/>
    <w:rsid w:val="00A43107"/>
    <w:rsid w:val="00A46DF7"/>
    <w:rsid w:val="00A46EB3"/>
    <w:rsid w:val="00A5109B"/>
    <w:rsid w:val="00A52772"/>
    <w:rsid w:val="00A54C09"/>
    <w:rsid w:val="00A55267"/>
    <w:rsid w:val="00A62947"/>
    <w:rsid w:val="00A716D1"/>
    <w:rsid w:val="00A71818"/>
    <w:rsid w:val="00A71B20"/>
    <w:rsid w:val="00A73698"/>
    <w:rsid w:val="00A74DAE"/>
    <w:rsid w:val="00A82CE4"/>
    <w:rsid w:val="00A84561"/>
    <w:rsid w:val="00A84769"/>
    <w:rsid w:val="00A8503C"/>
    <w:rsid w:val="00A85634"/>
    <w:rsid w:val="00A876FC"/>
    <w:rsid w:val="00A97F88"/>
    <w:rsid w:val="00AB18F3"/>
    <w:rsid w:val="00AB549D"/>
    <w:rsid w:val="00AB6724"/>
    <w:rsid w:val="00AC0FA4"/>
    <w:rsid w:val="00AC22A8"/>
    <w:rsid w:val="00AC5CA0"/>
    <w:rsid w:val="00AC6913"/>
    <w:rsid w:val="00AC6F05"/>
    <w:rsid w:val="00AC7B26"/>
    <w:rsid w:val="00AD56B7"/>
    <w:rsid w:val="00AE00CD"/>
    <w:rsid w:val="00AE0D75"/>
    <w:rsid w:val="00AE125A"/>
    <w:rsid w:val="00AE3334"/>
    <w:rsid w:val="00AE44B1"/>
    <w:rsid w:val="00AF2181"/>
    <w:rsid w:val="00B043D3"/>
    <w:rsid w:val="00B24126"/>
    <w:rsid w:val="00B26798"/>
    <w:rsid w:val="00B26A1F"/>
    <w:rsid w:val="00B35E73"/>
    <w:rsid w:val="00B42295"/>
    <w:rsid w:val="00B429DF"/>
    <w:rsid w:val="00B51CDD"/>
    <w:rsid w:val="00B53495"/>
    <w:rsid w:val="00B5598E"/>
    <w:rsid w:val="00B57C64"/>
    <w:rsid w:val="00B667FD"/>
    <w:rsid w:val="00B829D0"/>
    <w:rsid w:val="00B875DD"/>
    <w:rsid w:val="00B91C9B"/>
    <w:rsid w:val="00B961B8"/>
    <w:rsid w:val="00BA1EF6"/>
    <w:rsid w:val="00BA5E14"/>
    <w:rsid w:val="00BB6AA7"/>
    <w:rsid w:val="00BC1E80"/>
    <w:rsid w:val="00BC31C2"/>
    <w:rsid w:val="00BD0523"/>
    <w:rsid w:val="00BD6775"/>
    <w:rsid w:val="00BE6EFA"/>
    <w:rsid w:val="00BF2800"/>
    <w:rsid w:val="00BF4DE0"/>
    <w:rsid w:val="00BF5D77"/>
    <w:rsid w:val="00C01C87"/>
    <w:rsid w:val="00C049C2"/>
    <w:rsid w:val="00C16200"/>
    <w:rsid w:val="00C35256"/>
    <w:rsid w:val="00C417F6"/>
    <w:rsid w:val="00C418B0"/>
    <w:rsid w:val="00C41A57"/>
    <w:rsid w:val="00C537C9"/>
    <w:rsid w:val="00C61724"/>
    <w:rsid w:val="00C7152F"/>
    <w:rsid w:val="00C72259"/>
    <w:rsid w:val="00C77007"/>
    <w:rsid w:val="00C80293"/>
    <w:rsid w:val="00C85184"/>
    <w:rsid w:val="00C85238"/>
    <w:rsid w:val="00C94F2C"/>
    <w:rsid w:val="00C953C8"/>
    <w:rsid w:val="00CA2B7D"/>
    <w:rsid w:val="00CB299D"/>
    <w:rsid w:val="00CB6D32"/>
    <w:rsid w:val="00CB7DB4"/>
    <w:rsid w:val="00CC4FFE"/>
    <w:rsid w:val="00CD478E"/>
    <w:rsid w:val="00CE2F07"/>
    <w:rsid w:val="00CE3904"/>
    <w:rsid w:val="00CF2806"/>
    <w:rsid w:val="00D03AE5"/>
    <w:rsid w:val="00D04A3A"/>
    <w:rsid w:val="00D17DEE"/>
    <w:rsid w:val="00D26826"/>
    <w:rsid w:val="00D36E3D"/>
    <w:rsid w:val="00D459F4"/>
    <w:rsid w:val="00D469D5"/>
    <w:rsid w:val="00D47613"/>
    <w:rsid w:val="00D55E97"/>
    <w:rsid w:val="00D665FD"/>
    <w:rsid w:val="00D740AC"/>
    <w:rsid w:val="00D754FF"/>
    <w:rsid w:val="00D80DCD"/>
    <w:rsid w:val="00D81711"/>
    <w:rsid w:val="00D81B52"/>
    <w:rsid w:val="00D836B8"/>
    <w:rsid w:val="00D8472A"/>
    <w:rsid w:val="00D86A05"/>
    <w:rsid w:val="00D9536A"/>
    <w:rsid w:val="00D96A2F"/>
    <w:rsid w:val="00DA2AB7"/>
    <w:rsid w:val="00DA641B"/>
    <w:rsid w:val="00DB19A5"/>
    <w:rsid w:val="00DB1D7F"/>
    <w:rsid w:val="00DB3239"/>
    <w:rsid w:val="00DC36B9"/>
    <w:rsid w:val="00DC3E65"/>
    <w:rsid w:val="00DC3F1F"/>
    <w:rsid w:val="00DD48D5"/>
    <w:rsid w:val="00DD6F56"/>
    <w:rsid w:val="00E01309"/>
    <w:rsid w:val="00E02A0B"/>
    <w:rsid w:val="00E033C2"/>
    <w:rsid w:val="00E3016F"/>
    <w:rsid w:val="00E3236C"/>
    <w:rsid w:val="00E427AC"/>
    <w:rsid w:val="00E432FE"/>
    <w:rsid w:val="00E47AD6"/>
    <w:rsid w:val="00E52ACB"/>
    <w:rsid w:val="00E53455"/>
    <w:rsid w:val="00E65223"/>
    <w:rsid w:val="00E664E2"/>
    <w:rsid w:val="00E7061C"/>
    <w:rsid w:val="00E72C89"/>
    <w:rsid w:val="00E739AB"/>
    <w:rsid w:val="00E7600A"/>
    <w:rsid w:val="00E76C3B"/>
    <w:rsid w:val="00E81D99"/>
    <w:rsid w:val="00E83770"/>
    <w:rsid w:val="00E9155B"/>
    <w:rsid w:val="00E91B52"/>
    <w:rsid w:val="00E97638"/>
    <w:rsid w:val="00EA0BBD"/>
    <w:rsid w:val="00EA1128"/>
    <w:rsid w:val="00EB3B44"/>
    <w:rsid w:val="00EB549C"/>
    <w:rsid w:val="00EC0B36"/>
    <w:rsid w:val="00EC50B8"/>
    <w:rsid w:val="00EC77EF"/>
    <w:rsid w:val="00EE296A"/>
    <w:rsid w:val="00EE5643"/>
    <w:rsid w:val="00F00A5B"/>
    <w:rsid w:val="00F0238A"/>
    <w:rsid w:val="00F03720"/>
    <w:rsid w:val="00F03BAB"/>
    <w:rsid w:val="00F04B31"/>
    <w:rsid w:val="00F07907"/>
    <w:rsid w:val="00F119E7"/>
    <w:rsid w:val="00F11B7F"/>
    <w:rsid w:val="00F21305"/>
    <w:rsid w:val="00F32A44"/>
    <w:rsid w:val="00F37FBE"/>
    <w:rsid w:val="00F37FDC"/>
    <w:rsid w:val="00F5242E"/>
    <w:rsid w:val="00F622AB"/>
    <w:rsid w:val="00F64327"/>
    <w:rsid w:val="00F75F62"/>
    <w:rsid w:val="00F76189"/>
    <w:rsid w:val="00F76273"/>
    <w:rsid w:val="00F775D6"/>
    <w:rsid w:val="00F8040C"/>
    <w:rsid w:val="00F81EC5"/>
    <w:rsid w:val="00F83852"/>
    <w:rsid w:val="00F83C5C"/>
    <w:rsid w:val="00F85483"/>
    <w:rsid w:val="00F85FDB"/>
    <w:rsid w:val="00F948BF"/>
    <w:rsid w:val="00FA2D4A"/>
    <w:rsid w:val="00FA6E9F"/>
    <w:rsid w:val="00FA7FDE"/>
    <w:rsid w:val="00FB587A"/>
    <w:rsid w:val="00FB587E"/>
    <w:rsid w:val="00FC58DC"/>
    <w:rsid w:val="00FD1302"/>
    <w:rsid w:val="00FE464E"/>
    <w:rsid w:val="00FE77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724976"/>
    <w:pPr>
      <w:tabs>
        <w:tab w:val="left" w:pos="1134"/>
        <w:tab w:val="right" w:leader="dot" w:pos="9054"/>
      </w:tabs>
      <w:ind w:left="567"/>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character" w:styleId="CommentReference">
    <w:name w:val="annotation reference"/>
    <w:basedOn w:val="DefaultParagraphFont"/>
    <w:uiPriority w:val="99"/>
    <w:semiHidden/>
    <w:unhideWhenUsed/>
    <w:rsid w:val="00B5598E"/>
    <w:rPr>
      <w:sz w:val="16"/>
      <w:szCs w:val="16"/>
    </w:rPr>
  </w:style>
  <w:style w:type="paragraph" w:styleId="CommentText">
    <w:name w:val="annotation text"/>
    <w:basedOn w:val="Normal"/>
    <w:link w:val="CommentTextChar"/>
    <w:uiPriority w:val="99"/>
    <w:semiHidden/>
    <w:unhideWhenUsed/>
    <w:rsid w:val="00B5598E"/>
    <w:rPr>
      <w:sz w:val="20"/>
      <w:szCs w:val="20"/>
    </w:rPr>
  </w:style>
  <w:style w:type="character" w:customStyle="1" w:styleId="CommentTextChar">
    <w:name w:val="Comment Text Char"/>
    <w:basedOn w:val="DefaultParagraphFont"/>
    <w:link w:val="CommentText"/>
    <w:uiPriority w:val="99"/>
    <w:semiHidden/>
    <w:rsid w:val="00B5598E"/>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B5598E"/>
    <w:rPr>
      <w:b/>
    </w:rPr>
  </w:style>
  <w:style w:type="character" w:customStyle="1" w:styleId="CommentSubjectChar">
    <w:name w:val="Comment Subject Char"/>
    <w:basedOn w:val="CommentTextChar"/>
    <w:link w:val="CommentSubject"/>
    <w:uiPriority w:val="99"/>
    <w:semiHidden/>
    <w:rsid w:val="00B5598E"/>
    <w:rPr>
      <w:rFonts w:eastAsia="Times New Roman"/>
      <w:b/>
      <w:bCs/>
      <w:sz w:val="20"/>
      <w:szCs w:val="20"/>
      <w:lang w:eastAsia="en-US"/>
    </w:rPr>
  </w:style>
  <w:style w:type="paragraph" w:customStyle="1" w:styleId="CM3">
    <w:name w:val="CM3"/>
    <w:basedOn w:val="Normal"/>
    <w:next w:val="Normal"/>
    <w:uiPriority w:val="99"/>
    <w:rsid w:val="00282137"/>
    <w:pPr>
      <w:autoSpaceDE w:val="0"/>
      <w:autoSpaceDN w:val="0"/>
      <w:adjustRightInd w:val="0"/>
      <w:spacing w:line="320" w:lineRule="atLeast"/>
    </w:pPr>
    <w:rPr>
      <w:rFonts w:ascii="LIPCYY+ArialMT" w:eastAsia="HGSMinchoE" w:hAnsi="LIPCYY+ArialMT"/>
      <w:bCs w:val="0"/>
      <w:szCs w:val="24"/>
      <w:lang w:eastAsia="en-GB"/>
    </w:rPr>
  </w:style>
  <w:style w:type="paragraph" w:customStyle="1" w:styleId="CM24">
    <w:name w:val="CM24"/>
    <w:basedOn w:val="Normal"/>
    <w:next w:val="Normal"/>
    <w:uiPriority w:val="99"/>
    <w:rsid w:val="00282137"/>
    <w:pPr>
      <w:autoSpaceDE w:val="0"/>
      <w:autoSpaceDN w:val="0"/>
      <w:adjustRightInd w:val="0"/>
    </w:pPr>
    <w:rPr>
      <w:rFonts w:ascii="LIPCYY+ArialMT" w:eastAsia="HGSMinchoE" w:hAnsi="LIPCYY+ArialMT"/>
      <w:bCs w:val="0"/>
      <w:szCs w:val="24"/>
      <w:lang w:eastAsia="en-GB"/>
    </w:rPr>
  </w:style>
  <w:style w:type="paragraph" w:customStyle="1" w:styleId="Default">
    <w:name w:val="Default"/>
    <w:rsid w:val="00282137"/>
    <w:pPr>
      <w:autoSpaceDE w:val="0"/>
      <w:autoSpaceDN w:val="0"/>
      <w:adjustRightInd w:val="0"/>
    </w:pPr>
    <w:rPr>
      <w:rFonts w:cs="Arial"/>
      <w:color w:val="000000"/>
    </w:rPr>
  </w:style>
  <w:style w:type="character" w:customStyle="1" w:styleId="ListParagraphChar">
    <w:name w:val="List Paragraph Char"/>
    <w:link w:val="ListParagraph"/>
    <w:uiPriority w:val="34"/>
    <w:rsid w:val="00325D24"/>
    <w:rPr>
      <w:rFonts w:eastAsia="Times New Roman"/>
      <w:bCs/>
      <w:szCs w:val="26"/>
      <w:lang w:eastAsia="en-US"/>
    </w:rPr>
  </w:style>
  <w:style w:type="paragraph" w:styleId="PlainText">
    <w:name w:val="Plain Text"/>
    <w:basedOn w:val="Normal"/>
    <w:link w:val="PlainTextChar"/>
    <w:uiPriority w:val="99"/>
    <w:semiHidden/>
    <w:unhideWhenUsed/>
    <w:rsid w:val="005868D0"/>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5868D0"/>
    <w:rPr>
      <w:rFonts w:ascii="Calibri" w:eastAsiaTheme="minorHAnsi" w:hAnsi="Calibri" w:cs="Consolas"/>
      <w:sz w:val="22"/>
      <w:szCs w:val="21"/>
      <w:lang w:eastAsia="en-US"/>
    </w:rPr>
  </w:style>
  <w:style w:type="table" w:styleId="MediumGrid3-Accent4">
    <w:name w:val="Medium Grid 3 Accent 4"/>
    <w:basedOn w:val="TableNormal"/>
    <w:uiPriority w:val="60"/>
    <w:rsid w:val="00CC4F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3FF" w:themeFill="accent4" w:themeFillTint="7F"/>
      </w:tcPr>
    </w:tblStylePr>
  </w:style>
  <w:style w:type="table" w:styleId="MediumGrid3-Accent3">
    <w:name w:val="Medium Grid 3 Accent 3"/>
    <w:basedOn w:val="TableNormal"/>
    <w:uiPriority w:val="60"/>
    <w:rsid w:val="00CC4F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3" w:themeFillTint="7F"/>
      </w:tcPr>
    </w:tblStylePr>
  </w:style>
  <w:style w:type="character" w:styleId="Emphasis">
    <w:name w:val="Emphasis"/>
    <w:basedOn w:val="DefaultParagraphFont"/>
    <w:uiPriority w:val="20"/>
    <w:qFormat/>
    <w:rsid w:val="001F0AC4"/>
    <w:rPr>
      <w:i/>
      <w:iCs/>
    </w:rPr>
  </w:style>
  <w:style w:type="character" w:customStyle="1" w:styleId="apple-converted-space">
    <w:name w:val="apple-converted-space"/>
    <w:basedOn w:val="DefaultParagraphFont"/>
    <w:rsid w:val="001F0AC4"/>
  </w:style>
  <w:style w:type="paragraph" w:styleId="NormalWeb">
    <w:name w:val="Normal (Web)"/>
    <w:basedOn w:val="Normal"/>
    <w:uiPriority w:val="99"/>
    <w:unhideWhenUsed/>
    <w:rsid w:val="00166B82"/>
    <w:pPr>
      <w:spacing w:before="100" w:beforeAutospacing="1" w:after="100" w:afterAutospacing="1"/>
    </w:pPr>
    <w:rPr>
      <w:rFonts w:ascii="Times New Roman" w:hAnsi="Times New Roman"/>
      <w:bCs w:val="0"/>
      <w:szCs w:val="24"/>
      <w:lang w:eastAsia="en-GB"/>
    </w:rPr>
  </w:style>
  <w:style w:type="character" w:customStyle="1" w:styleId="st1">
    <w:name w:val="st1"/>
    <w:basedOn w:val="DefaultParagraphFont"/>
    <w:rsid w:val="008645ED"/>
  </w:style>
  <w:style w:type="paragraph" w:styleId="NoSpacing">
    <w:name w:val="No Spacing"/>
    <w:uiPriority w:val="99"/>
    <w:qFormat/>
    <w:rsid w:val="00636737"/>
    <w:rPr>
      <w:rFonts w:eastAsia="Times New Roman"/>
      <w:bCs/>
      <w:szCs w:val="26"/>
      <w:lang w:eastAsia="en-US"/>
    </w:rPr>
  </w:style>
  <w:style w:type="table" w:styleId="ColorfulList-Accent1">
    <w:name w:val="Colorful List Accent 1"/>
    <w:basedOn w:val="TableNormal"/>
    <w:uiPriority w:val="34"/>
    <w:qFormat/>
    <w:rsid w:val="00284BDE"/>
    <w:rPr>
      <w:color w:val="000000" w:themeColor="text1"/>
    </w:rPr>
    <w:tblPr>
      <w:tblStyleRowBandSize w:val="1"/>
      <w:tblStyleColBandSize w:val="1"/>
    </w:tblPr>
    <w:tcPr>
      <w:shd w:val="clear" w:color="auto" w:fill="E0F1FF" w:themeFill="accent1" w:themeFillTint="19"/>
    </w:tcPr>
    <w:tblStylePr w:type="firstRow">
      <w:rPr>
        <w:b/>
        <w:bCs/>
        <w:color w:val="FFFFFF" w:themeColor="background1"/>
      </w:rPr>
      <w:tblPr/>
      <w:tcPr>
        <w:tcBorders>
          <w:bottom w:val="single" w:sz="12" w:space="0" w:color="FFFFFF" w:themeColor="background1"/>
        </w:tcBorders>
        <w:shd w:val="clear" w:color="auto" w:fill="800042" w:themeFill="accent2" w:themeFillShade="CC"/>
      </w:tcPr>
    </w:tblStylePr>
    <w:tblStylePr w:type="lastRow">
      <w:rPr>
        <w:b/>
        <w:bCs/>
        <w:color w:val="8000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DDFF" w:themeFill="accent1" w:themeFillTint="3F"/>
      </w:tcPr>
    </w:tblStylePr>
    <w:tblStylePr w:type="band1Horz">
      <w:tblPr/>
      <w:tcPr>
        <w:shd w:val="clear" w:color="auto" w:fill="C0E4FF"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724976"/>
    <w:pPr>
      <w:tabs>
        <w:tab w:val="left" w:pos="1134"/>
        <w:tab w:val="right" w:leader="dot" w:pos="9054"/>
      </w:tabs>
      <w:ind w:left="567"/>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character" w:styleId="CommentReference">
    <w:name w:val="annotation reference"/>
    <w:basedOn w:val="DefaultParagraphFont"/>
    <w:uiPriority w:val="99"/>
    <w:semiHidden/>
    <w:unhideWhenUsed/>
    <w:rsid w:val="00B5598E"/>
    <w:rPr>
      <w:sz w:val="16"/>
      <w:szCs w:val="16"/>
    </w:rPr>
  </w:style>
  <w:style w:type="paragraph" w:styleId="CommentText">
    <w:name w:val="annotation text"/>
    <w:basedOn w:val="Normal"/>
    <w:link w:val="CommentTextChar"/>
    <w:uiPriority w:val="99"/>
    <w:semiHidden/>
    <w:unhideWhenUsed/>
    <w:rsid w:val="00B5598E"/>
    <w:rPr>
      <w:sz w:val="20"/>
      <w:szCs w:val="20"/>
    </w:rPr>
  </w:style>
  <w:style w:type="character" w:customStyle="1" w:styleId="CommentTextChar">
    <w:name w:val="Comment Text Char"/>
    <w:basedOn w:val="DefaultParagraphFont"/>
    <w:link w:val="CommentText"/>
    <w:uiPriority w:val="99"/>
    <w:semiHidden/>
    <w:rsid w:val="00B5598E"/>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B5598E"/>
    <w:rPr>
      <w:b/>
    </w:rPr>
  </w:style>
  <w:style w:type="character" w:customStyle="1" w:styleId="CommentSubjectChar">
    <w:name w:val="Comment Subject Char"/>
    <w:basedOn w:val="CommentTextChar"/>
    <w:link w:val="CommentSubject"/>
    <w:uiPriority w:val="99"/>
    <w:semiHidden/>
    <w:rsid w:val="00B5598E"/>
    <w:rPr>
      <w:rFonts w:eastAsia="Times New Roman"/>
      <w:b/>
      <w:bCs/>
      <w:sz w:val="20"/>
      <w:szCs w:val="20"/>
      <w:lang w:eastAsia="en-US"/>
    </w:rPr>
  </w:style>
  <w:style w:type="paragraph" w:customStyle="1" w:styleId="CM3">
    <w:name w:val="CM3"/>
    <w:basedOn w:val="Normal"/>
    <w:next w:val="Normal"/>
    <w:uiPriority w:val="99"/>
    <w:rsid w:val="00282137"/>
    <w:pPr>
      <w:autoSpaceDE w:val="0"/>
      <w:autoSpaceDN w:val="0"/>
      <w:adjustRightInd w:val="0"/>
      <w:spacing w:line="320" w:lineRule="atLeast"/>
    </w:pPr>
    <w:rPr>
      <w:rFonts w:ascii="LIPCYY+ArialMT" w:eastAsia="HGSMinchoE" w:hAnsi="LIPCYY+ArialMT"/>
      <w:bCs w:val="0"/>
      <w:szCs w:val="24"/>
      <w:lang w:eastAsia="en-GB"/>
    </w:rPr>
  </w:style>
  <w:style w:type="paragraph" w:customStyle="1" w:styleId="CM24">
    <w:name w:val="CM24"/>
    <w:basedOn w:val="Normal"/>
    <w:next w:val="Normal"/>
    <w:uiPriority w:val="99"/>
    <w:rsid w:val="00282137"/>
    <w:pPr>
      <w:autoSpaceDE w:val="0"/>
      <w:autoSpaceDN w:val="0"/>
      <w:adjustRightInd w:val="0"/>
    </w:pPr>
    <w:rPr>
      <w:rFonts w:ascii="LIPCYY+ArialMT" w:eastAsia="HGSMinchoE" w:hAnsi="LIPCYY+ArialMT"/>
      <w:bCs w:val="0"/>
      <w:szCs w:val="24"/>
      <w:lang w:eastAsia="en-GB"/>
    </w:rPr>
  </w:style>
  <w:style w:type="paragraph" w:customStyle="1" w:styleId="Default">
    <w:name w:val="Default"/>
    <w:rsid w:val="00282137"/>
    <w:pPr>
      <w:autoSpaceDE w:val="0"/>
      <w:autoSpaceDN w:val="0"/>
      <w:adjustRightInd w:val="0"/>
    </w:pPr>
    <w:rPr>
      <w:rFonts w:cs="Arial"/>
      <w:color w:val="000000"/>
    </w:rPr>
  </w:style>
  <w:style w:type="character" w:customStyle="1" w:styleId="ListParagraphChar">
    <w:name w:val="List Paragraph Char"/>
    <w:link w:val="ListParagraph"/>
    <w:uiPriority w:val="34"/>
    <w:rsid w:val="00325D24"/>
    <w:rPr>
      <w:rFonts w:eastAsia="Times New Roman"/>
      <w:bCs/>
      <w:szCs w:val="26"/>
      <w:lang w:eastAsia="en-US"/>
    </w:rPr>
  </w:style>
  <w:style w:type="paragraph" w:styleId="PlainText">
    <w:name w:val="Plain Text"/>
    <w:basedOn w:val="Normal"/>
    <w:link w:val="PlainTextChar"/>
    <w:uiPriority w:val="99"/>
    <w:semiHidden/>
    <w:unhideWhenUsed/>
    <w:rsid w:val="005868D0"/>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5868D0"/>
    <w:rPr>
      <w:rFonts w:ascii="Calibri" w:eastAsiaTheme="minorHAnsi" w:hAnsi="Calibri" w:cs="Consolas"/>
      <w:sz w:val="22"/>
      <w:szCs w:val="21"/>
      <w:lang w:eastAsia="en-US"/>
    </w:rPr>
  </w:style>
  <w:style w:type="table" w:styleId="MediumGrid3-Accent4">
    <w:name w:val="Medium Grid 3 Accent 4"/>
    <w:basedOn w:val="TableNormal"/>
    <w:uiPriority w:val="60"/>
    <w:rsid w:val="00CC4F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3FF" w:themeFill="accent4" w:themeFillTint="7F"/>
      </w:tcPr>
    </w:tblStylePr>
  </w:style>
  <w:style w:type="table" w:styleId="MediumGrid3-Accent3">
    <w:name w:val="Medium Grid 3 Accent 3"/>
    <w:basedOn w:val="TableNormal"/>
    <w:uiPriority w:val="60"/>
    <w:rsid w:val="00CC4F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3" w:themeFillTint="7F"/>
      </w:tcPr>
    </w:tblStylePr>
  </w:style>
  <w:style w:type="character" w:styleId="Emphasis">
    <w:name w:val="Emphasis"/>
    <w:basedOn w:val="DefaultParagraphFont"/>
    <w:uiPriority w:val="20"/>
    <w:qFormat/>
    <w:rsid w:val="001F0AC4"/>
    <w:rPr>
      <w:i/>
      <w:iCs/>
    </w:rPr>
  </w:style>
  <w:style w:type="character" w:customStyle="1" w:styleId="apple-converted-space">
    <w:name w:val="apple-converted-space"/>
    <w:basedOn w:val="DefaultParagraphFont"/>
    <w:rsid w:val="001F0AC4"/>
  </w:style>
  <w:style w:type="paragraph" w:styleId="NormalWeb">
    <w:name w:val="Normal (Web)"/>
    <w:basedOn w:val="Normal"/>
    <w:uiPriority w:val="99"/>
    <w:unhideWhenUsed/>
    <w:rsid w:val="00166B82"/>
    <w:pPr>
      <w:spacing w:before="100" w:beforeAutospacing="1" w:after="100" w:afterAutospacing="1"/>
    </w:pPr>
    <w:rPr>
      <w:rFonts w:ascii="Times New Roman" w:hAnsi="Times New Roman"/>
      <w:bCs w:val="0"/>
      <w:szCs w:val="24"/>
      <w:lang w:eastAsia="en-GB"/>
    </w:rPr>
  </w:style>
  <w:style w:type="character" w:customStyle="1" w:styleId="st1">
    <w:name w:val="st1"/>
    <w:basedOn w:val="DefaultParagraphFont"/>
    <w:rsid w:val="008645ED"/>
  </w:style>
  <w:style w:type="paragraph" w:styleId="NoSpacing">
    <w:name w:val="No Spacing"/>
    <w:uiPriority w:val="99"/>
    <w:qFormat/>
    <w:rsid w:val="00636737"/>
    <w:rPr>
      <w:rFonts w:eastAsia="Times New Roman"/>
      <w:bCs/>
      <w:szCs w:val="26"/>
      <w:lang w:eastAsia="en-US"/>
    </w:rPr>
  </w:style>
  <w:style w:type="table" w:styleId="ColorfulList-Accent1">
    <w:name w:val="Colorful List Accent 1"/>
    <w:basedOn w:val="TableNormal"/>
    <w:uiPriority w:val="34"/>
    <w:qFormat/>
    <w:rsid w:val="00284BDE"/>
    <w:rPr>
      <w:color w:val="000000" w:themeColor="text1"/>
    </w:rPr>
    <w:tblPr>
      <w:tblStyleRowBandSize w:val="1"/>
      <w:tblStyleColBandSize w:val="1"/>
    </w:tblPr>
    <w:tcPr>
      <w:shd w:val="clear" w:color="auto" w:fill="E0F1FF" w:themeFill="accent1" w:themeFillTint="19"/>
    </w:tcPr>
    <w:tblStylePr w:type="firstRow">
      <w:rPr>
        <w:b/>
        <w:bCs/>
        <w:color w:val="FFFFFF" w:themeColor="background1"/>
      </w:rPr>
      <w:tblPr/>
      <w:tcPr>
        <w:tcBorders>
          <w:bottom w:val="single" w:sz="12" w:space="0" w:color="FFFFFF" w:themeColor="background1"/>
        </w:tcBorders>
        <w:shd w:val="clear" w:color="auto" w:fill="800042" w:themeFill="accent2" w:themeFillShade="CC"/>
      </w:tcPr>
    </w:tblStylePr>
    <w:tblStylePr w:type="lastRow">
      <w:rPr>
        <w:b/>
        <w:bCs/>
        <w:color w:val="8000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DDFF" w:themeFill="accent1" w:themeFillTint="3F"/>
      </w:tcPr>
    </w:tblStylePr>
    <w:tblStylePr w:type="band1Horz">
      <w:tblPr/>
      <w:tcPr>
        <w:shd w:val="clear" w:color="auto" w:fill="C0E4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51">
      <w:bodyDiv w:val="1"/>
      <w:marLeft w:val="0"/>
      <w:marRight w:val="0"/>
      <w:marTop w:val="0"/>
      <w:marBottom w:val="0"/>
      <w:divBdr>
        <w:top w:val="none" w:sz="0" w:space="0" w:color="auto"/>
        <w:left w:val="none" w:sz="0" w:space="0" w:color="auto"/>
        <w:bottom w:val="none" w:sz="0" w:space="0" w:color="auto"/>
        <w:right w:val="none" w:sz="0" w:space="0" w:color="auto"/>
      </w:divBdr>
    </w:div>
    <w:div w:id="44764593">
      <w:bodyDiv w:val="1"/>
      <w:marLeft w:val="0"/>
      <w:marRight w:val="0"/>
      <w:marTop w:val="0"/>
      <w:marBottom w:val="0"/>
      <w:divBdr>
        <w:top w:val="none" w:sz="0" w:space="0" w:color="auto"/>
        <w:left w:val="none" w:sz="0" w:space="0" w:color="auto"/>
        <w:bottom w:val="none" w:sz="0" w:space="0" w:color="auto"/>
        <w:right w:val="none" w:sz="0" w:space="0" w:color="auto"/>
      </w:divBdr>
    </w:div>
    <w:div w:id="58597635">
      <w:bodyDiv w:val="1"/>
      <w:marLeft w:val="0"/>
      <w:marRight w:val="0"/>
      <w:marTop w:val="0"/>
      <w:marBottom w:val="0"/>
      <w:divBdr>
        <w:top w:val="none" w:sz="0" w:space="0" w:color="auto"/>
        <w:left w:val="none" w:sz="0" w:space="0" w:color="auto"/>
        <w:bottom w:val="none" w:sz="0" w:space="0" w:color="auto"/>
        <w:right w:val="none" w:sz="0" w:space="0" w:color="auto"/>
      </w:divBdr>
    </w:div>
    <w:div w:id="73281405">
      <w:bodyDiv w:val="1"/>
      <w:marLeft w:val="0"/>
      <w:marRight w:val="0"/>
      <w:marTop w:val="0"/>
      <w:marBottom w:val="0"/>
      <w:divBdr>
        <w:top w:val="none" w:sz="0" w:space="0" w:color="auto"/>
        <w:left w:val="none" w:sz="0" w:space="0" w:color="auto"/>
        <w:bottom w:val="none" w:sz="0" w:space="0" w:color="auto"/>
        <w:right w:val="none" w:sz="0" w:space="0" w:color="auto"/>
      </w:divBdr>
    </w:div>
    <w:div w:id="107479306">
      <w:bodyDiv w:val="1"/>
      <w:marLeft w:val="0"/>
      <w:marRight w:val="0"/>
      <w:marTop w:val="0"/>
      <w:marBottom w:val="0"/>
      <w:divBdr>
        <w:top w:val="none" w:sz="0" w:space="0" w:color="auto"/>
        <w:left w:val="none" w:sz="0" w:space="0" w:color="auto"/>
        <w:bottom w:val="none" w:sz="0" w:space="0" w:color="auto"/>
        <w:right w:val="none" w:sz="0" w:space="0" w:color="auto"/>
      </w:divBdr>
    </w:div>
    <w:div w:id="121266761">
      <w:bodyDiv w:val="1"/>
      <w:marLeft w:val="0"/>
      <w:marRight w:val="0"/>
      <w:marTop w:val="0"/>
      <w:marBottom w:val="0"/>
      <w:divBdr>
        <w:top w:val="none" w:sz="0" w:space="0" w:color="auto"/>
        <w:left w:val="none" w:sz="0" w:space="0" w:color="auto"/>
        <w:bottom w:val="none" w:sz="0" w:space="0" w:color="auto"/>
        <w:right w:val="none" w:sz="0" w:space="0" w:color="auto"/>
      </w:divBdr>
    </w:div>
    <w:div w:id="169372277">
      <w:bodyDiv w:val="1"/>
      <w:marLeft w:val="0"/>
      <w:marRight w:val="0"/>
      <w:marTop w:val="0"/>
      <w:marBottom w:val="0"/>
      <w:divBdr>
        <w:top w:val="none" w:sz="0" w:space="0" w:color="auto"/>
        <w:left w:val="none" w:sz="0" w:space="0" w:color="auto"/>
        <w:bottom w:val="none" w:sz="0" w:space="0" w:color="auto"/>
        <w:right w:val="none" w:sz="0" w:space="0" w:color="auto"/>
      </w:divBdr>
    </w:div>
    <w:div w:id="201095240">
      <w:bodyDiv w:val="1"/>
      <w:marLeft w:val="0"/>
      <w:marRight w:val="0"/>
      <w:marTop w:val="0"/>
      <w:marBottom w:val="0"/>
      <w:divBdr>
        <w:top w:val="none" w:sz="0" w:space="0" w:color="auto"/>
        <w:left w:val="none" w:sz="0" w:space="0" w:color="auto"/>
        <w:bottom w:val="none" w:sz="0" w:space="0" w:color="auto"/>
        <w:right w:val="none" w:sz="0" w:space="0" w:color="auto"/>
      </w:divBdr>
    </w:div>
    <w:div w:id="280722642">
      <w:bodyDiv w:val="1"/>
      <w:marLeft w:val="0"/>
      <w:marRight w:val="0"/>
      <w:marTop w:val="0"/>
      <w:marBottom w:val="0"/>
      <w:divBdr>
        <w:top w:val="none" w:sz="0" w:space="0" w:color="auto"/>
        <w:left w:val="none" w:sz="0" w:space="0" w:color="auto"/>
        <w:bottom w:val="none" w:sz="0" w:space="0" w:color="auto"/>
        <w:right w:val="none" w:sz="0" w:space="0" w:color="auto"/>
      </w:divBdr>
    </w:div>
    <w:div w:id="318390700">
      <w:bodyDiv w:val="1"/>
      <w:marLeft w:val="0"/>
      <w:marRight w:val="0"/>
      <w:marTop w:val="0"/>
      <w:marBottom w:val="0"/>
      <w:divBdr>
        <w:top w:val="none" w:sz="0" w:space="0" w:color="auto"/>
        <w:left w:val="none" w:sz="0" w:space="0" w:color="auto"/>
        <w:bottom w:val="none" w:sz="0" w:space="0" w:color="auto"/>
        <w:right w:val="none" w:sz="0" w:space="0" w:color="auto"/>
      </w:divBdr>
    </w:div>
    <w:div w:id="341204377">
      <w:bodyDiv w:val="1"/>
      <w:marLeft w:val="0"/>
      <w:marRight w:val="0"/>
      <w:marTop w:val="0"/>
      <w:marBottom w:val="0"/>
      <w:divBdr>
        <w:top w:val="none" w:sz="0" w:space="0" w:color="auto"/>
        <w:left w:val="none" w:sz="0" w:space="0" w:color="auto"/>
        <w:bottom w:val="none" w:sz="0" w:space="0" w:color="auto"/>
        <w:right w:val="none" w:sz="0" w:space="0" w:color="auto"/>
      </w:divBdr>
    </w:div>
    <w:div w:id="353658357">
      <w:bodyDiv w:val="1"/>
      <w:marLeft w:val="0"/>
      <w:marRight w:val="0"/>
      <w:marTop w:val="0"/>
      <w:marBottom w:val="0"/>
      <w:divBdr>
        <w:top w:val="none" w:sz="0" w:space="0" w:color="auto"/>
        <w:left w:val="none" w:sz="0" w:space="0" w:color="auto"/>
        <w:bottom w:val="none" w:sz="0" w:space="0" w:color="auto"/>
        <w:right w:val="none" w:sz="0" w:space="0" w:color="auto"/>
      </w:divBdr>
    </w:div>
    <w:div w:id="360861747">
      <w:bodyDiv w:val="1"/>
      <w:marLeft w:val="0"/>
      <w:marRight w:val="0"/>
      <w:marTop w:val="0"/>
      <w:marBottom w:val="0"/>
      <w:divBdr>
        <w:top w:val="none" w:sz="0" w:space="0" w:color="auto"/>
        <w:left w:val="none" w:sz="0" w:space="0" w:color="auto"/>
        <w:bottom w:val="none" w:sz="0" w:space="0" w:color="auto"/>
        <w:right w:val="none" w:sz="0" w:space="0" w:color="auto"/>
      </w:divBdr>
    </w:div>
    <w:div w:id="366949138">
      <w:bodyDiv w:val="1"/>
      <w:marLeft w:val="0"/>
      <w:marRight w:val="0"/>
      <w:marTop w:val="0"/>
      <w:marBottom w:val="0"/>
      <w:divBdr>
        <w:top w:val="none" w:sz="0" w:space="0" w:color="auto"/>
        <w:left w:val="none" w:sz="0" w:space="0" w:color="auto"/>
        <w:bottom w:val="none" w:sz="0" w:space="0" w:color="auto"/>
        <w:right w:val="none" w:sz="0" w:space="0" w:color="auto"/>
      </w:divBdr>
    </w:div>
    <w:div w:id="428891693">
      <w:bodyDiv w:val="1"/>
      <w:marLeft w:val="0"/>
      <w:marRight w:val="0"/>
      <w:marTop w:val="0"/>
      <w:marBottom w:val="0"/>
      <w:divBdr>
        <w:top w:val="none" w:sz="0" w:space="0" w:color="auto"/>
        <w:left w:val="none" w:sz="0" w:space="0" w:color="auto"/>
        <w:bottom w:val="none" w:sz="0" w:space="0" w:color="auto"/>
        <w:right w:val="none" w:sz="0" w:space="0" w:color="auto"/>
      </w:divBdr>
    </w:div>
    <w:div w:id="479881390">
      <w:bodyDiv w:val="1"/>
      <w:marLeft w:val="0"/>
      <w:marRight w:val="0"/>
      <w:marTop w:val="0"/>
      <w:marBottom w:val="0"/>
      <w:divBdr>
        <w:top w:val="none" w:sz="0" w:space="0" w:color="auto"/>
        <w:left w:val="none" w:sz="0" w:space="0" w:color="auto"/>
        <w:bottom w:val="none" w:sz="0" w:space="0" w:color="auto"/>
        <w:right w:val="none" w:sz="0" w:space="0" w:color="auto"/>
      </w:divBdr>
    </w:div>
    <w:div w:id="538863978">
      <w:bodyDiv w:val="1"/>
      <w:marLeft w:val="0"/>
      <w:marRight w:val="0"/>
      <w:marTop w:val="0"/>
      <w:marBottom w:val="0"/>
      <w:divBdr>
        <w:top w:val="none" w:sz="0" w:space="0" w:color="auto"/>
        <w:left w:val="none" w:sz="0" w:space="0" w:color="auto"/>
        <w:bottom w:val="none" w:sz="0" w:space="0" w:color="auto"/>
        <w:right w:val="none" w:sz="0" w:space="0" w:color="auto"/>
      </w:divBdr>
    </w:div>
    <w:div w:id="565070410">
      <w:bodyDiv w:val="1"/>
      <w:marLeft w:val="0"/>
      <w:marRight w:val="0"/>
      <w:marTop w:val="0"/>
      <w:marBottom w:val="0"/>
      <w:divBdr>
        <w:top w:val="none" w:sz="0" w:space="0" w:color="auto"/>
        <w:left w:val="none" w:sz="0" w:space="0" w:color="auto"/>
        <w:bottom w:val="none" w:sz="0" w:space="0" w:color="auto"/>
        <w:right w:val="none" w:sz="0" w:space="0" w:color="auto"/>
      </w:divBdr>
    </w:div>
    <w:div w:id="581060924">
      <w:bodyDiv w:val="1"/>
      <w:marLeft w:val="0"/>
      <w:marRight w:val="0"/>
      <w:marTop w:val="0"/>
      <w:marBottom w:val="0"/>
      <w:divBdr>
        <w:top w:val="none" w:sz="0" w:space="0" w:color="auto"/>
        <w:left w:val="none" w:sz="0" w:space="0" w:color="auto"/>
        <w:bottom w:val="none" w:sz="0" w:space="0" w:color="auto"/>
        <w:right w:val="none" w:sz="0" w:space="0" w:color="auto"/>
      </w:divBdr>
    </w:div>
    <w:div w:id="602229774">
      <w:bodyDiv w:val="1"/>
      <w:marLeft w:val="0"/>
      <w:marRight w:val="0"/>
      <w:marTop w:val="0"/>
      <w:marBottom w:val="0"/>
      <w:divBdr>
        <w:top w:val="none" w:sz="0" w:space="0" w:color="auto"/>
        <w:left w:val="none" w:sz="0" w:space="0" w:color="auto"/>
        <w:bottom w:val="none" w:sz="0" w:space="0" w:color="auto"/>
        <w:right w:val="none" w:sz="0" w:space="0" w:color="auto"/>
      </w:divBdr>
    </w:div>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768506066">
      <w:bodyDiv w:val="1"/>
      <w:marLeft w:val="0"/>
      <w:marRight w:val="0"/>
      <w:marTop w:val="0"/>
      <w:marBottom w:val="0"/>
      <w:divBdr>
        <w:top w:val="none" w:sz="0" w:space="0" w:color="auto"/>
        <w:left w:val="none" w:sz="0" w:space="0" w:color="auto"/>
        <w:bottom w:val="none" w:sz="0" w:space="0" w:color="auto"/>
        <w:right w:val="none" w:sz="0" w:space="0" w:color="auto"/>
      </w:divBdr>
    </w:div>
    <w:div w:id="787316264">
      <w:bodyDiv w:val="1"/>
      <w:marLeft w:val="0"/>
      <w:marRight w:val="0"/>
      <w:marTop w:val="0"/>
      <w:marBottom w:val="0"/>
      <w:divBdr>
        <w:top w:val="none" w:sz="0" w:space="0" w:color="auto"/>
        <w:left w:val="none" w:sz="0" w:space="0" w:color="auto"/>
        <w:bottom w:val="none" w:sz="0" w:space="0" w:color="auto"/>
        <w:right w:val="none" w:sz="0" w:space="0" w:color="auto"/>
      </w:divBdr>
    </w:div>
    <w:div w:id="811559448">
      <w:bodyDiv w:val="1"/>
      <w:marLeft w:val="0"/>
      <w:marRight w:val="0"/>
      <w:marTop w:val="0"/>
      <w:marBottom w:val="0"/>
      <w:divBdr>
        <w:top w:val="none" w:sz="0" w:space="0" w:color="auto"/>
        <w:left w:val="none" w:sz="0" w:space="0" w:color="auto"/>
        <w:bottom w:val="none" w:sz="0" w:space="0" w:color="auto"/>
        <w:right w:val="none" w:sz="0" w:space="0" w:color="auto"/>
      </w:divBdr>
    </w:div>
    <w:div w:id="816455991">
      <w:bodyDiv w:val="1"/>
      <w:marLeft w:val="0"/>
      <w:marRight w:val="0"/>
      <w:marTop w:val="0"/>
      <w:marBottom w:val="0"/>
      <w:divBdr>
        <w:top w:val="none" w:sz="0" w:space="0" w:color="auto"/>
        <w:left w:val="none" w:sz="0" w:space="0" w:color="auto"/>
        <w:bottom w:val="none" w:sz="0" w:space="0" w:color="auto"/>
        <w:right w:val="none" w:sz="0" w:space="0" w:color="auto"/>
      </w:divBdr>
    </w:div>
    <w:div w:id="865295266">
      <w:bodyDiv w:val="1"/>
      <w:marLeft w:val="0"/>
      <w:marRight w:val="0"/>
      <w:marTop w:val="0"/>
      <w:marBottom w:val="0"/>
      <w:divBdr>
        <w:top w:val="none" w:sz="0" w:space="0" w:color="auto"/>
        <w:left w:val="none" w:sz="0" w:space="0" w:color="auto"/>
        <w:bottom w:val="none" w:sz="0" w:space="0" w:color="auto"/>
        <w:right w:val="none" w:sz="0" w:space="0" w:color="auto"/>
      </w:divBdr>
    </w:div>
    <w:div w:id="900099286">
      <w:bodyDiv w:val="1"/>
      <w:marLeft w:val="0"/>
      <w:marRight w:val="0"/>
      <w:marTop w:val="0"/>
      <w:marBottom w:val="0"/>
      <w:divBdr>
        <w:top w:val="none" w:sz="0" w:space="0" w:color="auto"/>
        <w:left w:val="none" w:sz="0" w:space="0" w:color="auto"/>
        <w:bottom w:val="none" w:sz="0" w:space="0" w:color="auto"/>
        <w:right w:val="none" w:sz="0" w:space="0" w:color="auto"/>
      </w:divBdr>
    </w:div>
    <w:div w:id="922178842">
      <w:bodyDiv w:val="1"/>
      <w:marLeft w:val="0"/>
      <w:marRight w:val="0"/>
      <w:marTop w:val="0"/>
      <w:marBottom w:val="0"/>
      <w:divBdr>
        <w:top w:val="none" w:sz="0" w:space="0" w:color="auto"/>
        <w:left w:val="none" w:sz="0" w:space="0" w:color="auto"/>
        <w:bottom w:val="none" w:sz="0" w:space="0" w:color="auto"/>
        <w:right w:val="none" w:sz="0" w:space="0" w:color="auto"/>
      </w:divBdr>
    </w:div>
    <w:div w:id="982857109">
      <w:bodyDiv w:val="1"/>
      <w:marLeft w:val="0"/>
      <w:marRight w:val="0"/>
      <w:marTop w:val="0"/>
      <w:marBottom w:val="0"/>
      <w:divBdr>
        <w:top w:val="none" w:sz="0" w:space="0" w:color="auto"/>
        <w:left w:val="none" w:sz="0" w:space="0" w:color="auto"/>
        <w:bottom w:val="none" w:sz="0" w:space="0" w:color="auto"/>
        <w:right w:val="none" w:sz="0" w:space="0" w:color="auto"/>
      </w:divBdr>
    </w:div>
    <w:div w:id="983969515">
      <w:bodyDiv w:val="1"/>
      <w:marLeft w:val="0"/>
      <w:marRight w:val="0"/>
      <w:marTop w:val="0"/>
      <w:marBottom w:val="0"/>
      <w:divBdr>
        <w:top w:val="none" w:sz="0" w:space="0" w:color="auto"/>
        <w:left w:val="none" w:sz="0" w:space="0" w:color="auto"/>
        <w:bottom w:val="none" w:sz="0" w:space="0" w:color="auto"/>
        <w:right w:val="none" w:sz="0" w:space="0" w:color="auto"/>
      </w:divBdr>
    </w:div>
    <w:div w:id="987053935">
      <w:bodyDiv w:val="1"/>
      <w:marLeft w:val="0"/>
      <w:marRight w:val="0"/>
      <w:marTop w:val="0"/>
      <w:marBottom w:val="0"/>
      <w:divBdr>
        <w:top w:val="none" w:sz="0" w:space="0" w:color="auto"/>
        <w:left w:val="none" w:sz="0" w:space="0" w:color="auto"/>
        <w:bottom w:val="none" w:sz="0" w:space="0" w:color="auto"/>
        <w:right w:val="none" w:sz="0" w:space="0" w:color="auto"/>
      </w:divBdr>
    </w:div>
    <w:div w:id="1059330556">
      <w:bodyDiv w:val="1"/>
      <w:marLeft w:val="0"/>
      <w:marRight w:val="0"/>
      <w:marTop w:val="0"/>
      <w:marBottom w:val="0"/>
      <w:divBdr>
        <w:top w:val="none" w:sz="0" w:space="0" w:color="auto"/>
        <w:left w:val="none" w:sz="0" w:space="0" w:color="auto"/>
        <w:bottom w:val="none" w:sz="0" w:space="0" w:color="auto"/>
        <w:right w:val="none" w:sz="0" w:space="0" w:color="auto"/>
      </w:divBdr>
    </w:div>
    <w:div w:id="1105617207">
      <w:bodyDiv w:val="1"/>
      <w:marLeft w:val="0"/>
      <w:marRight w:val="0"/>
      <w:marTop w:val="0"/>
      <w:marBottom w:val="0"/>
      <w:divBdr>
        <w:top w:val="none" w:sz="0" w:space="0" w:color="auto"/>
        <w:left w:val="none" w:sz="0" w:space="0" w:color="auto"/>
        <w:bottom w:val="none" w:sz="0" w:space="0" w:color="auto"/>
        <w:right w:val="none" w:sz="0" w:space="0" w:color="auto"/>
      </w:divBdr>
    </w:div>
    <w:div w:id="1110314575">
      <w:bodyDiv w:val="1"/>
      <w:marLeft w:val="0"/>
      <w:marRight w:val="0"/>
      <w:marTop w:val="0"/>
      <w:marBottom w:val="0"/>
      <w:divBdr>
        <w:top w:val="none" w:sz="0" w:space="0" w:color="auto"/>
        <w:left w:val="none" w:sz="0" w:space="0" w:color="auto"/>
        <w:bottom w:val="none" w:sz="0" w:space="0" w:color="auto"/>
        <w:right w:val="none" w:sz="0" w:space="0" w:color="auto"/>
      </w:divBdr>
      <w:divsChild>
        <w:div w:id="219022282">
          <w:marLeft w:val="547"/>
          <w:marRight w:val="0"/>
          <w:marTop w:val="106"/>
          <w:marBottom w:val="0"/>
          <w:divBdr>
            <w:top w:val="none" w:sz="0" w:space="0" w:color="auto"/>
            <w:left w:val="none" w:sz="0" w:space="0" w:color="auto"/>
            <w:bottom w:val="none" w:sz="0" w:space="0" w:color="auto"/>
            <w:right w:val="none" w:sz="0" w:space="0" w:color="auto"/>
          </w:divBdr>
        </w:div>
        <w:div w:id="282150905">
          <w:marLeft w:val="547"/>
          <w:marRight w:val="0"/>
          <w:marTop w:val="106"/>
          <w:marBottom w:val="0"/>
          <w:divBdr>
            <w:top w:val="none" w:sz="0" w:space="0" w:color="auto"/>
            <w:left w:val="none" w:sz="0" w:space="0" w:color="auto"/>
            <w:bottom w:val="none" w:sz="0" w:space="0" w:color="auto"/>
            <w:right w:val="none" w:sz="0" w:space="0" w:color="auto"/>
          </w:divBdr>
        </w:div>
        <w:div w:id="532577824">
          <w:marLeft w:val="547"/>
          <w:marRight w:val="0"/>
          <w:marTop w:val="106"/>
          <w:marBottom w:val="0"/>
          <w:divBdr>
            <w:top w:val="none" w:sz="0" w:space="0" w:color="auto"/>
            <w:left w:val="none" w:sz="0" w:space="0" w:color="auto"/>
            <w:bottom w:val="none" w:sz="0" w:space="0" w:color="auto"/>
            <w:right w:val="none" w:sz="0" w:space="0" w:color="auto"/>
          </w:divBdr>
        </w:div>
        <w:div w:id="573858270">
          <w:marLeft w:val="547"/>
          <w:marRight w:val="0"/>
          <w:marTop w:val="106"/>
          <w:marBottom w:val="0"/>
          <w:divBdr>
            <w:top w:val="none" w:sz="0" w:space="0" w:color="auto"/>
            <w:left w:val="none" w:sz="0" w:space="0" w:color="auto"/>
            <w:bottom w:val="none" w:sz="0" w:space="0" w:color="auto"/>
            <w:right w:val="none" w:sz="0" w:space="0" w:color="auto"/>
          </w:divBdr>
        </w:div>
        <w:div w:id="1320766587">
          <w:marLeft w:val="547"/>
          <w:marRight w:val="0"/>
          <w:marTop w:val="106"/>
          <w:marBottom w:val="0"/>
          <w:divBdr>
            <w:top w:val="none" w:sz="0" w:space="0" w:color="auto"/>
            <w:left w:val="none" w:sz="0" w:space="0" w:color="auto"/>
            <w:bottom w:val="none" w:sz="0" w:space="0" w:color="auto"/>
            <w:right w:val="none" w:sz="0" w:space="0" w:color="auto"/>
          </w:divBdr>
        </w:div>
        <w:div w:id="1337539226">
          <w:marLeft w:val="547"/>
          <w:marRight w:val="0"/>
          <w:marTop w:val="106"/>
          <w:marBottom w:val="0"/>
          <w:divBdr>
            <w:top w:val="none" w:sz="0" w:space="0" w:color="auto"/>
            <w:left w:val="none" w:sz="0" w:space="0" w:color="auto"/>
            <w:bottom w:val="none" w:sz="0" w:space="0" w:color="auto"/>
            <w:right w:val="none" w:sz="0" w:space="0" w:color="auto"/>
          </w:divBdr>
        </w:div>
        <w:div w:id="1627005680">
          <w:marLeft w:val="547"/>
          <w:marRight w:val="0"/>
          <w:marTop w:val="106"/>
          <w:marBottom w:val="0"/>
          <w:divBdr>
            <w:top w:val="none" w:sz="0" w:space="0" w:color="auto"/>
            <w:left w:val="none" w:sz="0" w:space="0" w:color="auto"/>
            <w:bottom w:val="none" w:sz="0" w:space="0" w:color="auto"/>
            <w:right w:val="none" w:sz="0" w:space="0" w:color="auto"/>
          </w:divBdr>
        </w:div>
        <w:div w:id="2070835390">
          <w:marLeft w:val="547"/>
          <w:marRight w:val="0"/>
          <w:marTop w:val="106"/>
          <w:marBottom w:val="0"/>
          <w:divBdr>
            <w:top w:val="none" w:sz="0" w:space="0" w:color="auto"/>
            <w:left w:val="none" w:sz="0" w:space="0" w:color="auto"/>
            <w:bottom w:val="none" w:sz="0" w:space="0" w:color="auto"/>
            <w:right w:val="none" w:sz="0" w:space="0" w:color="auto"/>
          </w:divBdr>
        </w:div>
      </w:divsChild>
    </w:div>
    <w:div w:id="1114717600">
      <w:bodyDiv w:val="1"/>
      <w:marLeft w:val="0"/>
      <w:marRight w:val="0"/>
      <w:marTop w:val="0"/>
      <w:marBottom w:val="0"/>
      <w:divBdr>
        <w:top w:val="none" w:sz="0" w:space="0" w:color="auto"/>
        <w:left w:val="none" w:sz="0" w:space="0" w:color="auto"/>
        <w:bottom w:val="none" w:sz="0" w:space="0" w:color="auto"/>
        <w:right w:val="none" w:sz="0" w:space="0" w:color="auto"/>
      </w:divBdr>
    </w:div>
    <w:div w:id="1124884970">
      <w:bodyDiv w:val="1"/>
      <w:marLeft w:val="0"/>
      <w:marRight w:val="0"/>
      <w:marTop w:val="0"/>
      <w:marBottom w:val="0"/>
      <w:divBdr>
        <w:top w:val="none" w:sz="0" w:space="0" w:color="auto"/>
        <w:left w:val="none" w:sz="0" w:space="0" w:color="auto"/>
        <w:bottom w:val="none" w:sz="0" w:space="0" w:color="auto"/>
        <w:right w:val="none" w:sz="0" w:space="0" w:color="auto"/>
      </w:divBdr>
    </w:div>
    <w:div w:id="1138492487">
      <w:bodyDiv w:val="1"/>
      <w:marLeft w:val="0"/>
      <w:marRight w:val="0"/>
      <w:marTop w:val="0"/>
      <w:marBottom w:val="0"/>
      <w:divBdr>
        <w:top w:val="none" w:sz="0" w:space="0" w:color="auto"/>
        <w:left w:val="none" w:sz="0" w:space="0" w:color="auto"/>
        <w:bottom w:val="none" w:sz="0" w:space="0" w:color="auto"/>
        <w:right w:val="none" w:sz="0" w:space="0" w:color="auto"/>
      </w:divBdr>
    </w:div>
    <w:div w:id="1149521971">
      <w:bodyDiv w:val="1"/>
      <w:marLeft w:val="0"/>
      <w:marRight w:val="0"/>
      <w:marTop w:val="0"/>
      <w:marBottom w:val="0"/>
      <w:divBdr>
        <w:top w:val="none" w:sz="0" w:space="0" w:color="auto"/>
        <w:left w:val="none" w:sz="0" w:space="0" w:color="auto"/>
        <w:bottom w:val="none" w:sz="0" w:space="0" w:color="auto"/>
        <w:right w:val="none" w:sz="0" w:space="0" w:color="auto"/>
      </w:divBdr>
    </w:div>
    <w:div w:id="1306086393">
      <w:bodyDiv w:val="1"/>
      <w:marLeft w:val="0"/>
      <w:marRight w:val="0"/>
      <w:marTop w:val="0"/>
      <w:marBottom w:val="0"/>
      <w:divBdr>
        <w:top w:val="none" w:sz="0" w:space="0" w:color="auto"/>
        <w:left w:val="none" w:sz="0" w:space="0" w:color="auto"/>
        <w:bottom w:val="none" w:sz="0" w:space="0" w:color="auto"/>
        <w:right w:val="none" w:sz="0" w:space="0" w:color="auto"/>
      </w:divBdr>
      <w:divsChild>
        <w:div w:id="46951447">
          <w:marLeft w:val="547"/>
          <w:marRight w:val="0"/>
          <w:marTop w:val="106"/>
          <w:marBottom w:val="0"/>
          <w:divBdr>
            <w:top w:val="none" w:sz="0" w:space="0" w:color="auto"/>
            <w:left w:val="none" w:sz="0" w:space="0" w:color="auto"/>
            <w:bottom w:val="none" w:sz="0" w:space="0" w:color="auto"/>
            <w:right w:val="none" w:sz="0" w:space="0" w:color="auto"/>
          </w:divBdr>
        </w:div>
        <w:div w:id="412897683">
          <w:marLeft w:val="547"/>
          <w:marRight w:val="0"/>
          <w:marTop w:val="106"/>
          <w:marBottom w:val="0"/>
          <w:divBdr>
            <w:top w:val="none" w:sz="0" w:space="0" w:color="auto"/>
            <w:left w:val="none" w:sz="0" w:space="0" w:color="auto"/>
            <w:bottom w:val="none" w:sz="0" w:space="0" w:color="auto"/>
            <w:right w:val="none" w:sz="0" w:space="0" w:color="auto"/>
          </w:divBdr>
        </w:div>
        <w:div w:id="929432297">
          <w:marLeft w:val="547"/>
          <w:marRight w:val="0"/>
          <w:marTop w:val="106"/>
          <w:marBottom w:val="0"/>
          <w:divBdr>
            <w:top w:val="none" w:sz="0" w:space="0" w:color="auto"/>
            <w:left w:val="none" w:sz="0" w:space="0" w:color="auto"/>
            <w:bottom w:val="none" w:sz="0" w:space="0" w:color="auto"/>
            <w:right w:val="none" w:sz="0" w:space="0" w:color="auto"/>
          </w:divBdr>
        </w:div>
        <w:div w:id="1387795317">
          <w:marLeft w:val="547"/>
          <w:marRight w:val="0"/>
          <w:marTop w:val="106"/>
          <w:marBottom w:val="0"/>
          <w:divBdr>
            <w:top w:val="none" w:sz="0" w:space="0" w:color="auto"/>
            <w:left w:val="none" w:sz="0" w:space="0" w:color="auto"/>
            <w:bottom w:val="none" w:sz="0" w:space="0" w:color="auto"/>
            <w:right w:val="none" w:sz="0" w:space="0" w:color="auto"/>
          </w:divBdr>
        </w:div>
        <w:div w:id="1472478847">
          <w:marLeft w:val="547"/>
          <w:marRight w:val="0"/>
          <w:marTop w:val="106"/>
          <w:marBottom w:val="0"/>
          <w:divBdr>
            <w:top w:val="none" w:sz="0" w:space="0" w:color="auto"/>
            <w:left w:val="none" w:sz="0" w:space="0" w:color="auto"/>
            <w:bottom w:val="none" w:sz="0" w:space="0" w:color="auto"/>
            <w:right w:val="none" w:sz="0" w:space="0" w:color="auto"/>
          </w:divBdr>
        </w:div>
        <w:div w:id="2134058316">
          <w:marLeft w:val="547"/>
          <w:marRight w:val="0"/>
          <w:marTop w:val="106"/>
          <w:marBottom w:val="0"/>
          <w:divBdr>
            <w:top w:val="none" w:sz="0" w:space="0" w:color="auto"/>
            <w:left w:val="none" w:sz="0" w:space="0" w:color="auto"/>
            <w:bottom w:val="none" w:sz="0" w:space="0" w:color="auto"/>
            <w:right w:val="none" w:sz="0" w:space="0" w:color="auto"/>
          </w:divBdr>
        </w:div>
      </w:divsChild>
    </w:div>
    <w:div w:id="1332102199">
      <w:bodyDiv w:val="1"/>
      <w:marLeft w:val="0"/>
      <w:marRight w:val="0"/>
      <w:marTop w:val="0"/>
      <w:marBottom w:val="0"/>
      <w:divBdr>
        <w:top w:val="none" w:sz="0" w:space="0" w:color="auto"/>
        <w:left w:val="none" w:sz="0" w:space="0" w:color="auto"/>
        <w:bottom w:val="none" w:sz="0" w:space="0" w:color="auto"/>
        <w:right w:val="none" w:sz="0" w:space="0" w:color="auto"/>
      </w:divBdr>
    </w:div>
    <w:div w:id="1333797518">
      <w:bodyDiv w:val="1"/>
      <w:marLeft w:val="0"/>
      <w:marRight w:val="0"/>
      <w:marTop w:val="0"/>
      <w:marBottom w:val="0"/>
      <w:divBdr>
        <w:top w:val="none" w:sz="0" w:space="0" w:color="auto"/>
        <w:left w:val="none" w:sz="0" w:space="0" w:color="auto"/>
        <w:bottom w:val="none" w:sz="0" w:space="0" w:color="auto"/>
        <w:right w:val="none" w:sz="0" w:space="0" w:color="auto"/>
      </w:divBdr>
    </w:div>
    <w:div w:id="1374773202">
      <w:bodyDiv w:val="1"/>
      <w:marLeft w:val="0"/>
      <w:marRight w:val="0"/>
      <w:marTop w:val="0"/>
      <w:marBottom w:val="0"/>
      <w:divBdr>
        <w:top w:val="none" w:sz="0" w:space="0" w:color="auto"/>
        <w:left w:val="none" w:sz="0" w:space="0" w:color="auto"/>
        <w:bottom w:val="none" w:sz="0" w:space="0" w:color="auto"/>
        <w:right w:val="none" w:sz="0" w:space="0" w:color="auto"/>
      </w:divBdr>
      <w:divsChild>
        <w:div w:id="68961329">
          <w:marLeft w:val="547"/>
          <w:marRight w:val="0"/>
          <w:marTop w:val="96"/>
          <w:marBottom w:val="0"/>
          <w:divBdr>
            <w:top w:val="none" w:sz="0" w:space="0" w:color="auto"/>
            <w:left w:val="none" w:sz="0" w:space="0" w:color="auto"/>
            <w:bottom w:val="none" w:sz="0" w:space="0" w:color="auto"/>
            <w:right w:val="none" w:sz="0" w:space="0" w:color="auto"/>
          </w:divBdr>
        </w:div>
        <w:div w:id="274484709">
          <w:marLeft w:val="1166"/>
          <w:marRight w:val="0"/>
          <w:marTop w:val="96"/>
          <w:marBottom w:val="0"/>
          <w:divBdr>
            <w:top w:val="none" w:sz="0" w:space="0" w:color="auto"/>
            <w:left w:val="none" w:sz="0" w:space="0" w:color="auto"/>
            <w:bottom w:val="none" w:sz="0" w:space="0" w:color="auto"/>
            <w:right w:val="none" w:sz="0" w:space="0" w:color="auto"/>
          </w:divBdr>
        </w:div>
        <w:div w:id="441613368">
          <w:marLeft w:val="547"/>
          <w:marRight w:val="0"/>
          <w:marTop w:val="96"/>
          <w:marBottom w:val="0"/>
          <w:divBdr>
            <w:top w:val="none" w:sz="0" w:space="0" w:color="auto"/>
            <w:left w:val="none" w:sz="0" w:space="0" w:color="auto"/>
            <w:bottom w:val="none" w:sz="0" w:space="0" w:color="auto"/>
            <w:right w:val="none" w:sz="0" w:space="0" w:color="auto"/>
          </w:divBdr>
        </w:div>
        <w:div w:id="991254693">
          <w:marLeft w:val="547"/>
          <w:marRight w:val="0"/>
          <w:marTop w:val="96"/>
          <w:marBottom w:val="0"/>
          <w:divBdr>
            <w:top w:val="none" w:sz="0" w:space="0" w:color="auto"/>
            <w:left w:val="none" w:sz="0" w:space="0" w:color="auto"/>
            <w:bottom w:val="none" w:sz="0" w:space="0" w:color="auto"/>
            <w:right w:val="none" w:sz="0" w:space="0" w:color="auto"/>
          </w:divBdr>
        </w:div>
        <w:div w:id="1183714171">
          <w:marLeft w:val="547"/>
          <w:marRight w:val="0"/>
          <w:marTop w:val="96"/>
          <w:marBottom w:val="0"/>
          <w:divBdr>
            <w:top w:val="none" w:sz="0" w:space="0" w:color="auto"/>
            <w:left w:val="none" w:sz="0" w:space="0" w:color="auto"/>
            <w:bottom w:val="none" w:sz="0" w:space="0" w:color="auto"/>
            <w:right w:val="none" w:sz="0" w:space="0" w:color="auto"/>
          </w:divBdr>
        </w:div>
        <w:div w:id="1705523616">
          <w:marLeft w:val="547"/>
          <w:marRight w:val="0"/>
          <w:marTop w:val="96"/>
          <w:marBottom w:val="0"/>
          <w:divBdr>
            <w:top w:val="none" w:sz="0" w:space="0" w:color="auto"/>
            <w:left w:val="none" w:sz="0" w:space="0" w:color="auto"/>
            <w:bottom w:val="none" w:sz="0" w:space="0" w:color="auto"/>
            <w:right w:val="none" w:sz="0" w:space="0" w:color="auto"/>
          </w:divBdr>
        </w:div>
        <w:div w:id="1992444961">
          <w:marLeft w:val="547"/>
          <w:marRight w:val="0"/>
          <w:marTop w:val="96"/>
          <w:marBottom w:val="0"/>
          <w:divBdr>
            <w:top w:val="none" w:sz="0" w:space="0" w:color="auto"/>
            <w:left w:val="none" w:sz="0" w:space="0" w:color="auto"/>
            <w:bottom w:val="none" w:sz="0" w:space="0" w:color="auto"/>
            <w:right w:val="none" w:sz="0" w:space="0" w:color="auto"/>
          </w:divBdr>
        </w:div>
      </w:divsChild>
    </w:div>
    <w:div w:id="1384595639">
      <w:bodyDiv w:val="1"/>
      <w:marLeft w:val="0"/>
      <w:marRight w:val="0"/>
      <w:marTop w:val="0"/>
      <w:marBottom w:val="0"/>
      <w:divBdr>
        <w:top w:val="none" w:sz="0" w:space="0" w:color="auto"/>
        <w:left w:val="none" w:sz="0" w:space="0" w:color="auto"/>
        <w:bottom w:val="none" w:sz="0" w:space="0" w:color="auto"/>
        <w:right w:val="none" w:sz="0" w:space="0" w:color="auto"/>
      </w:divBdr>
    </w:div>
    <w:div w:id="1443962033">
      <w:bodyDiv w:val="1"/>
      <w:marLeft w:val="0"/>
      <w:marRight w:val="0"/>
      <w:marTop w:val="0"/>
      <w:marBottom w:val="0"/>
      <w:divBdr>
        <w:top w:val="none" w:sz="0" w:space="0" w:color="auto"/>
        <w:left w:val="none" w:sz="0" w:space="0" w:color="auto"/>
        <w:bottom w:val="none" w:sz="0" w:space="0" w:color="auto"/>
        <w:right w:val="none" w:sz="0" w:space="0" w:color="auto"/>
      </w:divBdr>
    </w:div>
    <w:div w:id="1469277859">
      <w:bodyDiv w:val="1"/>
      <w:marLeft w:val="0"/>
      <w:marRight w:val="0"/>
      <w:marTop w:val="0"/>
      <w:marBottom w:val="0"/>
      <w:divBdr>
        <w:top w:val="none" w:sz="0" w:space="0" w:color="auto"/>
        <w:left w:val="none" w:sz="0" w:space="0" w:color="auto"/>
        <w:bottom w:val="none" w:sz="0" w:space="0" w:color="auto"/>
        <w:right w:val="none" w:sz="0" w:space="0" w:color="auto"/>
      </w:divBdr>
    </w:div>
    <w:div w:id="1485244651">
      <w:bodyDiv w:val="1"/>
      <w:marLeft w:val="0"/>
      <w:marRight w:val="0"/>
      <w:marTop w:val="0"/>
      <w:marBottom w:val="0"/>
      <w:divBdr>
        <w:top w:val="none" w:sz="0" w:space="0" w:color="auto"/>
        <w:left w:val="none" w:sz="0" w:space="0" w:color="auto"/>
        <w:bottom w:val="none" w:sz="0" w:space="0" w:color="auto"/>
        <w:right w:val="none" w:sz="0" w:space="0" w:color="auto"/>
      </w:divBdr>
    </w:div>
    <w:div w:id="1494369224">
      <w:bodyDiv w:val="1"/>
      <w:marLeft w:val="0"/>
      <w:marRight w:val="0"/>
      <w:marTop w:val="0"/>
      <w:marBottom w:val="0"/>
      <w:divBdr>
        <w:top w:val="none" w:sz="0" w:space="0" w:color="auto"/>
        <w:left w:val="none" w:sz="0" w:space="0" w:color="auto"/>
        <w:bottom w:val="none" w:sz="0" w:space="0" w:color="auto"/>
        <w:right w:val="none" w:sz="0" w:space="0" w:color="auto"/>
      </w:divBdr>
    </w:div>
    <w:div w:id="1507861207">
      <w:bodyDiv w:val="1"/>
      <w:marLeft w:val="0"/>
      <w:marRight w:val="0"/>
      <w:marTop w:val="0"/>
      <w:marBottom w:val="0"/>
      <w:divBdr>
        <w:top w:val="none" w:sz="0" w:space="0" w:color="auto"/>
        <w:left w:val="none" w:sz="0" w:space="0" w:color="auto"/>
        <w:bottom w:val="none" w:sz="0" w:space="0" w:color="auto"/>
        <w:right w:val="none" w:sz="0" w:space="0" w:color="auto"/>
      </w:divBdr>
    </w:div>
    <w:div w:id="1548375579">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655065831">
      <w:bodyDiv w:val="1"/>
      <w:marLeft w:val="0"/>
      <w:marRight w:val="0"/>
      <w:marTop w:val="0"/>
      <w:marBottom w:val="0"/>
      <w:divBdr>
        <w:top w:val="none" w:sz="0" w:space="0" w:color="auto"/>
        <w:left w:val="none" w:sz="0" w:space="0" w:color="auto"/>
        <w:bottom w:val="none" w:sz="0" w:space="0" w:color="auto"/>
        <w:right w:val="none" w:sz="0" w:space="0" w:color="auto"/>
      </w:divBdr>
    </w:div>
    <w:div w:id="1655840640">
      <w:bodyDiv w:val="1"/>
      <w:marLeft w:val="0"/>
      <w:marRight w:val="0"/>
      <w:marTop w:val="0"/>
      <w:marBottom w:val="0"/>
      <w:divBdr>
        <w:top w:val="none" w:sz="0" w:space="0" w:color="auto"/>
        <w:left w:val="none" w:sz="0" w:space="0" w:color="auto"/>
        <w:bottom w:val="none" w:sz="0" w:space="0" w:color="auto"/>
        <w:right w:val="none" w:sz="0" w:space="0" w:color="auto"/>
      </w:divBdr>
    </w:div>
    <w:div w:id="1689023732">
      <w:bodyDiv w:val="1"/>
      <w:marLeft w:val="0"/>
      <w:marRight w:val="0"/>
      <w:marTop w:val="0"/>
      <w:marBottom w:val="0"/>
      <w:divBdr>
        <w:top w:val="none" w:sz="0" w:space="0" w:color="auto"/>
        <w:left w:val="none" w:sz="0" w:space="0" w:color="auto"/>
        <w:bottom w:val="none" w:sz="0" w:space="0" w:color="auto"/>
        <w:right w:val="none" w:sz="0" w:space="0" w:color="auto"/>
      </w:divBdr>
    </w:div>
    <w:div w:id="1720861493">
      <w:bodyDiv w:val="1"/>
      <w:marLeft w:val="0"/>
      <w:marRight w:val="0"/>
      <w:marTop w:val="0"/>
      <w:marBottom w:val="0"/>
      <w:divBdr>
        <w:top w:val="none" w:sz="0" w:space="0" w:color="auto"/>
        <w:left w:val="none" w:sz="0" w:space="0" w:color="auto"/>
        <w:bottom w:val="none" w:sz="0" w:space="0" w:color="auto"/>
        <w:right w:val="none" w:sz="0" w:space="0" w:color="auto"/>
      </w:divBdr>
    </w:div>
    <w:div w:id="1726947764">
      <w:bodyDiv w:val="1"/>
      <w:marLeft w:val="0"/>
      <w:marRight w:val="0"/>
      <w:marTop w:val="0"/>
      <w:marBottom w:val="0"/>
      <w:divBdr>
        <w:top w:val="none" w:sz="0" w:space="0" w:color="auto"/>
        <w:left w:val="none" w:sz="0" w:space="0" w:color="auto"/>
        <w:bottom w:val="none" w:sz="0" w:space="0" w:color="auto"/>
        <w:right w:val="none" w:sz="0" w:space="0" w:color="auto"/>
      </w:divBdr>
    </w:div>
    <w:div w:id="1749227068">
      <w:bodyDiv w:val="1"/>
      <w:marLeft w:val="0"/>
      <w:marRight w:val="0"/>
      <w:marTop w:val="0"/>
      <w:marBottom w:val="0"/>
      <w:divBdr>
        <w:top w:val="none" w:sz="0" w:space="0" w:color="auto"/>
        <w:left w:val="none" w:sz="0" w:space="0" w:color="auto"/>
        <w:bottom w:val="none" w:sz="0" w:space="0" w:color="auto"/>
        <w:right w:val="none" w:sz="0" w:space="0" w:color="auto"/>
      </w:divBdr>
    </w:div>
    <w:div w:id="1798572022">
      <w:bodyDiv w:val="1"/>
      <w:marLeft w:val="0"/>
      <w:marRight w:val="0"/>
      <w:marTop w:val="0"/>
      <w:marBottom w:val="0"/>
      <w:divBdr>
        <w:top w:val="none" w:sz="0" w:space="0" w:color="auto"/>
        <w:left w:val="none" w:sz="0" w:space="0" w:color="auto"/>
        <w:bottom w:val="none" w:sz="0" w:space="0" w:color="auto"/>
        <w:right w:val="none" w:sz="0" w:space="0" w:color="auto"/>
      </w:divBdr>
      <w:divsChild>
        <w:div w:id="272909897">
          <w:marLeft w:val="562"/>
          <w:marRight w:val="0"/>
          <w:marTop w:val="251"/>
          <w:marBottom w:val="0"/>
          <w:divBdr>
            <w:top w:val="none" w:sz="0" w:space="0" w:color="auto"/>
            <w:left w:val="none" w:sz="0" w:space="0" w:color="auto"/>
            <w:bottom w:val="none" w:sz="0" w:space="0" w:color="auto"/>
            <w:right w:val="none" w:sz="0" w:space="0" w:color="auto"/>
          </w:divBdr>
        </w:div>
      </w:divsChild>
    </w:div>
    <w:div w:id="1818840454">
      <w:bodyDiv w:val="1"/>
      <w:marLeft w:val="0"/>
      <w:marRight w:val="0"/>
      <w:marTop w:val="0"/>
      <w:marBottom w:val="0"/>
      <w:divBdr>
        <w:top w:val="none" w:sz="0" w:space="0" w:color="auto"/>
        <w:left w:val="none" w:sz="0" w:space="0" w:color="auto"/>
        <w:bottom w:val="none" w:sz="0" w:space="0" w:color="auto"/>
        <w:right w:val="none" w:sz="0" w:space="0" w:color="auto"/>
      </w:divBdr>
    </w:div>
    <w:div w:id="1853370798">
      <w:bodyDiv w:val="1"/>
      <w:marLeft w:val="0"/>
      <w:marRight w:val="0"/>
      <w:marTop w:val="0"/>
      <w:marBottom w:val="0"/>
      <w:divBdr>
        <w:top w:val="none" w:sz="0" w:space="0" w:color="auto"/>
        <w:left w:val="none" w:sz="0" w:space="0" w:color="auto"/>
        <w:bottom w:val="none" w:sz="0" w:space="0" w:color="auto"/>
        <w:right w:val="none" w:sz="0" w:space="0" w:color="auto"/>
      </w:divBdr>
    </w:div>
    <w:div w:id="1886483743">
      <w:bodyDiv w:val="1"/>
      <w:marLeft w:val="0"/>
      <w:marRight w:val="0"/>
      <w:marTop w:val="0"/>
      <w:marBottom w:val="0"/>
      <w:divBdr>
        <w:top w:val="none" w:sz="0" w:space="0" w:color="auto"/>
        <w:left w:val="none" w:sz="0" w:space="0" w:color="auto"/>
        <w:bottom w:val="none" w:sz="0" w:space="0" w:color="auto"/>
        <w:right w:val="none" w:sz="0" w:space="0" w:color="auto"/>
      </w:divBdr>
      <w:divsChild>
        <w:div w:id="704673302">
          <w:marLeft w:val="547"/>
          <w:marRight w:val="0"/>
          <w:marTop w:val="106"/>
          <w:marBottom w:val="0"/>
          <w:divBdr>
            <w:top w:val="none" w:sz="0" w:space="0" w:color="auto"/>
            <w:left w:val="none" w:sz="0" w:space="0" w:color="auto"/>
            <w:bottom w:val="none" w:sz="0" w:space="0" w:color="auto"/>
            <w:right w:val="none" w:sz="0" w:space="0" w:color="auto"/>
          </w:divBdr>
        </w:div>
        <w:div w:id="902982897">
          <w:marLeft w:val="547"/>
          <w:marRight w:val="0"/>
          <w:marTop w:val="106"/>
          <w:marBottom w:val="0"/>
          <w:divBdr>
            <w:top w:val="none" w:sz="0" w:space="0" w:color="auto"/>
            <w:left w:val="none" w:sz="0" w:space="0" w:color="auto"/>
            <w:bottom w:val="none" w:sz="0" w:space="0" w:color="auto"/>
            <w:right w:val="none" w:sz="0" w:space="0" w:color="auto"/>
          </w:divBdr>
        </w:div>
        <w:div w:id="1414474728">
          <w:marLeft w:val="547"/>
          <w:marRight w:val="0"/>
          <w:marTop w:val="106"/>
          <w:marBottom w:val="0"/>
          <w:divBdr>
            <w:top w:val="none" w:sz="0" w:space="0" w:color="auto"/>
            <w:left w:val="none" w:sz="0" w:space="0" w:color="auto"/>
            <w:bottom w:val="none" w:sz="0" w:space="0" w:color="auto"/>
            <w:right w:val="none" w:sz="0" w:space="0" w:color="auto"/>
          </w:divBdr>
        </w:div>
        <w:div w:id="1849976146">
          <w:marLeft w:val="547"/>
          <w:marRight w:val="0"/>
          <w:marTop w:val="106"/>
          <w:marBottom w:val="0"/>
          <w:divBdr>
            <w:top w:val="none" w:sz="0" w:space="0" w:color="auto"/>
            <w:left w:val="none" w:sz="0" w:space="0" w:color="auto"/>
            <w:bottom w:val="none" w:sz="0" w:space="0" w:color="auto"/>
            <w:right w:val="none" w:sz="0" w:space="0" w:color="auto"/>
          </w:divBdr>
        </w:div>
        <w:div w:id="2083940721">
          <w:marLeft w:val="547"/>
          <w:marRight w:val="0"/>
          <w:marTop w:val="106"/>
          <w:marBottom w:val="0"/>
          <w:divBdr>
            <w:top w:val="none" w:sz="0" w:space="0" w:color="auto"/>
            <w:left w:val="none" w:sz="0" w:space="0" w:color="auto"/>
            <w:bottom w:val="none" w:sz="0" w:space="0" w:color="auto"/>
            <w:right w:val="none" w:sz="0" w:space="0" w:color="auto"/>
          </w:divBdr>
        </w:div>
      </w:divsChild>
    </w:div>
    <w:div w:id="1922905513">
      <w:bodyDiv w:val="1"/>
      <w:marLeft w:val="0"/>
      <w:marRight w:val="0"/>
      <w:marTop w:val="0"/>
      <w:marBottom w:val="0"/>
      <w:divBdr>
        <w:top w:val="none" w:sz="0" w:space="0" w:color="auto"/>
        <w:left w:val="none" w:sz="0" w:space="0" w:color="auto"/>
        <w:bottom w:val="none" w:sz="0" w:space="0" w:color="auto"/>
        <w:right w:val="none" w:sz="0" w:space="0" w:color="auto"/>
      </w:divBdr>
      <w:divsChild>
        <w:div w:id="314259279">
          <w:marLeft w:val="562"/>
          <w:marRight w:val="0"/>
          <w:marTop w:val="251"/>
          <w:marBottom w:val="0"/>
          <w:divBdr>
            <w:top w:val="none" w:sz="0" w:space="0" w:color="auto"/>
            <w:left w:val="none" w:sz="0" w:space="0" w:color="auto"/>
            <w:bottom w:val="none" w:sz="0" w:space="0" w:color="auto"/>
            <w:right w:val="none" w:sz="0" w:space="0" w:color="auto"/>
          </w:divBdr>
        </w:div>
        <w:div w:id="502087893">
          <w:marLeft w:val="562"/>
          <w:marRight w:val="0"/>
          <w:marTop w:val="251"/>
          <w:marBottom w:val="0"/>
          <w:divBdr>
            <w:top w:val="none" w:sz="0" w:space="0" w:color="auto"/>
            <w:left w:val="none" w:sz="0" w:space="0" w:color="auto"/>
            <w:bottom w:val="none" w:sz="0" w:space="0" w:color="auto"/>
            <w:right w:val="none" w:sz="0" w:space="0" w:color="auto"/>
          </w:divBdr>
        </w:div>
        <w:div w:id="1423796681">
          <w:marLeft w:val="562"/>
          <w:marRight w:val="0"/>
          <w:marTop w:val="251"/>
          <w:marBottom w:val="0"/>
          <w:divBdr>
            <w:top w:val="none" w:sz="0" w:space="0" w:color="auto"/>
            <w:left w:val="none" w:sz="0" w:space="0" w:color="auto"/>
            <w:bottom w:val="none" w:sz="0" w:space="0" w:color="auto"/>
            <w:right w:val="none" w:sz="0" w:space="0" w:color="auto"/>
          </w:divBdr>
        </w:div>
      </w:divsChild>
    </w:div>
    <w:div w:id="1927028706">
      <w:bodyDiv w:val="1"/>
      <w:marLeft w:val="0"/>
      <w:marRight w:val="0"/>
      <w:marTop w:val="0"/>
      <w:marBottom w:val="0"/>
      <w:divBdr>
        <w:top w:val="none" w:sz="0" w:space="0" w:color="auto"/>
        <w:left w:val="none" w:sz="0" w:space="0" w:color="auto"/>
        <w:bottom w:val="none" w:sz="0" w:space="0" w:color="auto"/>
        <w:right w:val="none" w:sz="0" w:space="0" w:color="auto"/>
      </w:divBdr>
    </w:div>
    <w:div w:id="1945647857">
      <w:bodyDiv w:val="1"/>
      <w:marLeft w:val="0"/>
      <w:marRight w:val="0"/>
      <w:marTop w:val="0"/>
      <w:marBottom w:val="0"/>
      <w:divBdr>
        <w:top w:val="none" w:sz="0" w:space="0" w:color="auto"/>
        <w:left w:val="none" w:sz="0" w:space="0" w:color="auto"/>
        <w:bottom w:val="none" w:sz="0" w:space="0" w:color="auto"/>
        <w:right w:val="none" w:sz="0" w:space="0" w:color="auto"/>
      </w:divBdr>
    </w:div>
    <w:div w:id="1955870071">
      <w:bodyDiv w:val="1"/>
      <w:marLeft w:val="0"/>
      <w:marRight w:val="0"/>
      <w:marTop w:val="0"/>
      <w:marBottom w:val="0"/>
      <w:divBdr>
        <w:top w:val="none" w:sz="0" w:space="0" w:color="auto"/>
        <w:left w:val="none" w:sz="0" w:space="0" w:color="auto"/>
        <w:bottom w:val="none" w:sz="0" w:space="0" w:color="auto"/>
        <w:right w:val="none" w:sz="0" w:space="0" w:color="auto"/>
      </w:divBdr>
    </w:div>
    <w:div w:id="1956055448">
      <w:bodyDiv w:val="1"/>
      <w:marLeft w:val="0"/>
      <w:marRight w:val="0"/>
      <w:marTop w:val="0"/>
      <w:marBottom w:val="0"/>
      <w:divBdr>
        <w:top w:val="none" w:sz="0" w:space="0" w:color="auto"/>
        <w:left w:val="none" w:sz="0" w:space="0" w:color="auto"/>
        <w:bottom w:val="none" w:sz="0" w:space="0" w:color="auto"/>
        <w:right w:val="none" w:sz="0" w:space="0" w:color="auto"/>
      </w:divBdr>
    </w:div>
    <w:div w:id="1970893130">
      <w:bodyDiv w:val="1"/>
      <w:marLeft w:val="0"/>
      <w:marRight w:val="0"/>
      <w:marTop w:val="0"/>
      <w:marBottom w:val="0"/>
      <w:divBdr>
        <w:top w:val="none" w:sz="0" w:space="0" w:color="auto"/>
        <w:left w:val="none" w:sz="0" w:space="0" w:color="auto"/>
        <w:bottom w:val="none" w:sz="0" w:space="0" w:color="auto"/>
        <w:right w:val="none" w:sz="0" w:space="0" w:color="auto"/>
      </w:divBdr>
    </w:div>
    <w:div w:id="1999191033">
      <w:bodyDiv w:val="1"/>
      <w:marLeft w:val="0"/>
      <w:marRight w:val="0"/>
      <w:marTop w:val="0"/>
      <w:marBottom w:val="0"/>
      <w:divBdr>
        <w:top w:val="none" w:sz="0" w:space="0" w:color="auto"/>
        <w:left w:val="none" w:sz="0" w:space="0" w:color="auto"/>
        <w:bottom w:val="none" w:sz="0" w:space="0" w:color="auto"/>
        <w:right w:val="none" w:sz="0" w:space="0" w:color="auto"/>
      </w:divBdr>
    </w:div>
    <w:div w:id="2096050226">
      <w:bodyDiv w:val="1"/>
      <w:marLeft w:val="0"/>
      <w:marRight w:val="0"/>
      <w:marTop w:val="0"/>
      <w:marBottom w:val="0"/>
      <w:divBdr>
        <w:top w:val="none" w:sz="0" w:space="0" w:color="auto"/>
        <w:left w:val="none" w:sz="0" w:space="0" w:color="auto"/>
        <w:bottom w:val="none" w:sz="0" w:space="0" w:color="auto"/>
        <w:right w:val="none" w:sz="0" w:space="0" w:color="auto"/>
      </w:divBdr>
    </w:div>
    <w:div w:id="2124225471">
      <w:bodyDiv w:val="1"/>
      <w:marLeft w:val="0"/>
      <w:marRight w:val="0"/>
      <w:marTop w:val="0"/>
      <w:marBottom w:val="0"/>
      <w:divBdr>
        <w:top w:val="none" w:sz="0" w:space="0" w:color="auto"/>
        <w:left w:val="none" w:sz="0" w:space="0" w:color="auto"/>
        <w:bottom w:val="none" w:sz="0" w:space="0" w:color="auto"/>
        <w:right w:val="none" w:sz="0" w:space="0" w:color="auto"/>
      </w:divBdr>
    </w:div>
    <w:div w:id="2124416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chart" Target="charts/chart4.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18.emf"/><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chart" Target="charts/chart3.xml"/><Relationship Id="rId33" Type="http://schemas.openxmlformats.org/officeDocument/2006/relationships/image" Target="media/image17.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3.e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2.xml"/><Relationship Id="rId32" Type="http://schemas.openxmlformats.org/officeDocument/2006/relationships/image" Target="media/image16.e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image" Target="media/image10.emf"/><Relationship Id="rId28" Type="http://schemas.openxmlformats.org/officeDocument/2006/relationships/image" Target="media/image12.emf"/><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6.emf"/><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9.emf"/><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ublic%20Health)\Output%20Reports%20&amp;%20Dashboards\Child%20Immunisations\PHE%20&amp;%20HSCIC%20-%20PCT%20&amp;%20LA\Dashboards\Child%20Imms%20(LA%20COVER)%20v1%20Q1_1415-Q1_1819%20v1.0.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ublic%20Health)\Output%20Reports%20&amp;%20Dashboards\Child%20Immunisations\PHE%20&amp;%20HSCIC%20-%20PCT%20&amp;%20LA\Dashboards\Child%20Imms%20(LA%20COVER)%20v1%20Q1_1415-Q1_1819%20v1.0.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ublic%20Health)\Output%20Reports%20&amp;%20Dashboards\Child%20Immunisations\PHE%20&amp;%20HSCIC%20-%20PCT%20&amp;%20LA\Dashboards\Child%20Imms%20(LA%20COVER)%20v1%20Q1_1415-Q1_1819%20v1.0.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ublic%20Health)\Output%20Reports%20&amp;%20Dashboards\Child%20Immunisations\PHE%20&amp;%20HSCIC%20-%20PCT%20&amp;%20LA\Dashboards\Child%20Imms%20(LA%20COVER)%20v1%20Q1_1415-Q1_1819%20v1.0.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'LA timeseries pivots'!$C$4</c:f>
          <c:strCache>
            <c:ptCount val="1"/>
            <c:pt idx="0">
              <c:v>Harrow</c:v>
            </c:pt>
          </c:strCache>
        </c:strRef>
      </c:tx>
      <c:overlay val="0"/>
    </c:title>
    <c:autoTitleDeleted val="0"/>
    <c:plotArea>
      <c:layout/>
      <c:lineChart>
        <c:grouping val="standard"/>
        <c:varyColors val="0"/>
        <c:ser>
          <c:idx val="0"/>
          <c:order val="0"/>
          <c:tx>
            <c:strRef>
              <c:f>'LA timeseries'!$E$21</c:f>
              <c:strCache>
                <c:ptCount val="1"/>
                <c:pt idx="0">
                  <c:v>12m DTaP/IPV/Hib % </c:v>
                </c:pt>
              </c:strCache>
            </c:strRef>
          </c:tx>
          <c:spPr>
            <a:ln w="19050">
              <a:solidFill>
                <a:schemeClr val="tx2"/>
              </a:solidFill>
            </a:ln>
          </c:spPr>
          <c:marker>
            <c:symbol val="none"/>
          </c:marker>
          <c:cat>
            <c:strRef>
              <c:f>'LA timeseries'!$D$22:$D$38</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timeseries'!$E$22:$E$38</c:f>
              <c:numCache>
                <c:formatCode>0.0</c:formatCode>
                <c:ptCount val="17"/>
                <c:pt idx="0">
                  <c:v>89</c:v>
                </c:pt>
                <c:pt idx="1">
                  <c:v>90.9</c:v>
                </c:pt>
                <c:pt idx="2">
                  <c:v>92.1</c:v>
                </c:pt>
                <c:pt idx="3">
                  <c:v>93.8</c:v>
                </c:pt>
                <c:pt idx="4">
                  <c:v>90.4</c:v>
                </c:pt>
                <c:pt idx="5">
                  <c:v>91.7</c:v>
                </c:pt>
                <c:pt idx="6">
                  <c:v>91.5</c:v>
                </c:pt>
                <c:pt idx="7">
                  <c:v>89.9</c:v>
                </c:pt>
                <c:pt idx="8">
                  <c:v>92.9</c:v>
                </c:pt>
                <c:pt idx="9">
                  <c:v>89.4</c:v>
                </c:pt>
                <c:pt idx="10">
                  <c:v>91.7</c:v>
                </c:pt>
                <c:pt idx="11">
                  <c:v>89.4</c:v>
                </c:pt>
                <c:pt idx="12">
                  <c:v>86.8</c:v>
                </c:pt>
                <c:pt idx="13">
                  <c:v>90</c:v>
                </c:pt>
                <c:pt idx="14">
                  <c:v>88.9</c:v>
                </c:pt>
                <c:pt idx="15">
                  <c:v>90.3</c:v>
                </c:pt>
                <c:pt idx="16">
                  <c:v>88.1</c:v>
                </c:pt>
              </c:numCache>
            </c:numRef>
          </c:val>
          <c:smooth val="0"/>
          <c:extLst xmlns:c16r2="http://schemas.microsoft.com/office/drawing/2015/06/chart">
            <c:ext xmlns:c16="http://schemas.microsoft.com/office/drawing/2014/chart" uri="{C3380CC4-5D6E-409C-BE32-E72D297353CC}">
              <c16:uniqueId val="{00000000-AA59-40CA-B4B7-B6B01F32EF06}"/>
            </c:ext>
          </c:extLst>
        </c:ser>
        <c:ser>
          <c:idx val="7"/>
          <c:order val="1"/>
          <c:tx>
            <c:strRef>
              <c:f>'LA timeseries'!$F$21</c:f>
              <c:strCache>
                <c:ptCount val="1"/>
                <c:pt idx="0">
                  <c:v>12m Rota virus %</c:v>
                </c:pt>
              </c:strCache>
            </c:strRef>
          </c:tx>
          <c:marker>
            <c:symbol val="none"/>
          </c:marker>
          <c:cat>
            <c:strRef>
              <c:f>'LA timeseries'!$D$22:$D$38</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timeseries'!$F$22:$F$38</c:f>
              <c:numCache>
                <c:formatCode>0.0</c:formatCode>
                <c:ptCount val="17"/>
                <c:pt idx="0">
                  <c:v>#N/A</c:v>
                </c:pt>
                <c:pt idx="1">
                  <c:v>#N/A</c:v>
                </c:pt>
                <c:pt idx="2">
                  <c:v>#N/A</c:v>
                </c:pt>
                <c:pt idx="3">
                  <c:v>#N/A</c:v>
                </c:pt>
                <c:pt idx="4">
                  <c:v>88</c:v>
                </c:pt>
                <c:pt idx="5">
                  <c:v>88.2</c:v>
                </c:pt>
                <c:pt idx="6">
                  <c:v>87.1</c:v>
                </c:pt>
                <c:pt idx="7">
                  <c:v>85.4</c:v>
                </c:pt>
                <c:pt idx="8">
                  <c:v>87.5</c:v>
                </c:pt>
                <c:pt idx="9">
                  <c:v>86.8</c:v>
                </c:pt>
                <c:pt idx="10">
                  <c:v>89.3</c:v>
                </c:pt>
                <c:pt idx="11">
                  <c:v>88.6</c:v>
                </c:pt>
                <c:pt idx="12">
                  <c:v>83.9</c:v>
                </c:pt>
                <c:pt idx="13">
                  <c:v>87.9</c:v>
                </c:pt>
                <c:pt idx="14">
                  <c:v>85.7</c:v>
                </c:pt>
                <c:pt idx="15">
                  <c:v>87.5</c:v>
                </c:pt>
                <c:pt idx="16">
                  <c:v>85.1</c:v>
                </c:pt>
              </c:numCache>
            </c:numRef>
          </c:val>
          <c:smooth val="0"/>
          <c:extLst xmlns:c16r2="http://schemas.microsoft.com/office/drawing/2015/06/chart">
            <c:ext xmlns:c16="http://schemas.microsoft.com/office/drawing/2014/chart" uri="{C3380CC4-5D6E-409C-BE32-E72D297353CC}">
              <c16:uniqueId val="{00000001-AA59-40CA-B4B7-B6B01F32EF06}"/>
            </c:ext>
          </c:extLst>
        </c:ser>
        <c:ser>
          <c:idx val="8"/>
          <c:order val="2"/>
          <c:tx>
            <c:strRef>
              <c:f>'LA timeseries'!$G$21</c:f>
              <c:strCache>
                <c:ptCount val="1"/>
                <c:pt idx="0">
                  <c:v>12m Men B %</c:v>
                </c:pt>
              </c:strCache>
            </c:strRef>
          </c:tx>
          <c:marker>
            <c:symbol val="none"/>
          </c:marker>
          <c:cat>
            <c:strRef>
              <c:f>'LA timeseries'!$D$22:$D$38</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timeseries'!$G$22:$G$38</c:f>
              <c:numCache>
                <c:formatCode>0.0</c:formatCode>
                <c:ptCount val="17"/>
                <c:pt idx="0">
                  <c:v>#N/A</c:v>
                </c:pt>
                <c:pt idx="1">
                  <c:v>#N/A</c:v>
                </c:pt>
                <c:pt idx="2">
                  <c:v>#N/A</c:v>
                </c:pt>
                <c:pt idx="3">
                  <c:v>#N/A</c:v>
                </c:pt>
                <c:pt idx="4">
                  <c:v>#N/A</c:v>
                </c:pt>
                <c:pt idx="5">
                  <c:v>#N/A</c:v>
                </c:pt>
                <c:pt idx="6">
                  <c:v>#N/A</c:v>
                </c:pt>
                <c:pt idx="7">
                  <c:v>#N/A</c:v>
                </c:pt>
                <c:pt idx="8">
                  <c:v>#N/A</c:v>
                </c:pt>
                <c:pt idx="9">
                  <c:v>85.9</c:v>
                </c:pt>
                <c:pt idx="10">
                  <c:v>89</c:v>
                </c:pt>
                <c:pt idx="11">
                  <c:v>86.8</c:v>
                </c:pt>
                <c:pt idx="12">
                  <c:v>85.6</c:v>
                </c:pt>
                <c:pt idx="13">
                  <c:v>88</c:v>
                </c:pt>
                <c:pt idx="14">
                  <c:v>87.7</c:v>
                </c:pt>
                <c:pt idx="15">
                  <c:v>88.2</c:v>
                </c:pt>
                <c:pt idx="16">
                  <c:v>86.9</c:v>
                </c:pt>
              </c:numCache>
            </c:numRef>
          </c:val>
          <c:smooth val="0"/>
          <c:extLst xmlns:c16r2="http://schemas.microsoft.com/office/drawing/2015/06/chart">
            <c:ext xmlns:c16="http://schemas.microsoft.com/office/drawing/2014/chart" uri="{C3380CC4-5D6E-409C-BE32-E72D297353CC}">
              <c16:uniqueId val="{00000002-AA59-40CA-B4B7-B6B01F32EF06}"/>
            </c:ext>
          </c:extLst>
        </c:ser>
        <c:ser>
          <c:idx val="1"/>
          <c:order val="3"/>
          <c:tx>
            <c:strRef>
              <c:f>'LA timeseries'!$H$21</c:f>
              <c:strCache>
                <c:ptCount val="1"/>
                <c:pt idx="0">
                  <c:v>24m DTaP/IPV/Hib3 % </c:v>
                </c:pt>
              </c:strCache>
            </c:strRef>
          </c:tx>
          <c:spPr>
            <a:ln w="19050"/>
          </c:spPr>
          <c:marker>
            <c:symbol val="none"/>
          </c:marker>
          <c:cat>
            <c:strRef>
              <c:f>'LA timeseries'!$D$22:$D$38</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timeseries'!$H$22:$H$38</c:f>
              <c:numCache>
                <c:formatCode>0.0</c:formatCode>
                <c:ptCount val="17"/>
                <c:pt idx="0">
                  <c:v>89.9</c:v>
                </c:pt>
                <c:pt idx="1">
                  <c:v>#N/A</c:v>
                </c:pt>
                <c:pt idx="2">
                  <c:v>93</c:v>
                </c:pt>
                <c:pt idx="3">
                  <c:v>93.9</c:v>
                </c:pt>
                <c:pt idx="4">
                  <c:v>91.4</c:v>
                </c:pt>
                <c:pt idx="5">
                  <c:v>90.1</c:v>
                </c:pt>
                <c:pt idx="6">
                  <c:v>92.5</c:v>
                </c:pt>
                <c:pt idx="7">
                  <c:v>92.9</c:v>
                </c:pt>
                <c:pt idx="8">
                  <c:v>91.1</c:v>
                </c:pt>
                <c:pt idx="9">
                  <c:v>92</c:v>
                </c:pt>
                <c:pt idx="10">
                  <c:v>92.4</c:v>
                </c:pt>
                <c:pt idx="11">
                  <c:v>91.1</c:v>
                </c:pt>
                <c:pt idx="12">
                  <c:v>92</c:v>
                </c:pt>
                <c:pt idx="13">
                  <c:v>89.7</c:v>
                </c:pt>
                <c:pt idx="14">
                  <c:v>90.8</c:v>
                </c:pt>
                <c:pt idx="15">
                  <c:v>90.5</c:v>
                </c:pt>
                <c:pt idx="16">
                  <c:v>88.2</c:v>
                </c:pt>
              </c:numCache>
            </c:numRef>
          </c:val>
          <c:smooth val="0"/>
          <c:extLst xmlns:c16r2="http://schemas.microsoft.com/office/drawing/2015/06/chart">
            <c:ext xmlns:c16="http://schemas.microsoft.com/office/drawing/2014/chart" uri="{C3380CC4-5D6E-409C-BE32-E72D297353CC}">
              <c16:uniqueId val="{00000003-AA59-40CA-B4B7-B6B01F32EF06}"/>
            </c:ext>
          </c:extLst>
        </c:ser>
        <c:ser>
          <c:idx val="2"/>
          <c:order val="4"/>
          <c:tx>
            <c:strRef>
              <c:f>'LA timeseries'!$I$21</c:f>
              <c:strCache>
                <c:ptCount val="1"/>
                <c:pt idx="0">
                  <c:v>24m Hib MenC % </c:v>
                </c:pt>
              </c:strCache>
            </c:strRef>
          </c:tx>
          <c:spPr>
            <a:ln w="19050">
              <a:solidFill>
                <a:srgbClr val="00B050"/>
              </a:solidFill>
            </a:ln>
          </c:spPr>
          <c:marker>
            <c:symbol val="none"/>
          </c:marker>
          <c:cat>
            <c:strRef>
              <c:f>'LA timeseries'!$D$22:$D$38</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timeseries'!$I$22:$I$38</c:f>
              <c:numCache>
                <c:formatCode>0.0</c:formatCode>
                <c:ptCount val="17"/>
                <c:pt idx="0">
                  <c:v>87.2</c:v>
                </c:pt>
                <c:pt idx="1">
                  <c:v>#N/A</c:v>
                </c:pt>
                <c:pt idx="2">
                  <c:v>88.3</c:v>
                </c:pt>
                <c:pt idx="3">
                  <c:v>89.2</c:v>
                </c:pt>
                <c:pt idx="4">
                  <c:v>89.2</c:v>
                </c:pt>
                <c:pt idx="5">
                  <c:v>86.9</c:v>
                </c:pt>
                <c:pt idx="6">
                  <c:v>88.6</c:v>
                </c:pt>
                <c:pt idx="7">
                  <c:v>88.9</c:v>
                </c:pt>
                <c:pt idx="8">
                  <c:v>88</c:v>
                </c:pt>
                <c:pt idx="9">
                  <c:v>86.3</c:v>
                </c:pt>
                <c:pt idx="10">
                  <c:v>88</c:v>
                </c:pt>
                <c:pt idx="11">
                  <c:v>86.7</c:v>
                </c:pt>
                <c:pt idx="12">
                  <c:v>85.6</c:v>
                </c:pt>
                <c:pt idx="13">
                  <c:v>82.9</c:v>
                </c:pt>
                <c:pt idx="14">
                  <c:v>83.5</c:v>
                </c:pt>
                <c:pt idx="15">
                  <c:v>84.6</c:v>
                </c:pt>
                <c:pt idx="16">
                  <c:v>82.8</c:v>
                </c:pt>
              </c:numCache>
            </c:numRef>
          </c:val>
          <c:smooth val="0"/>
          <c:extLst xmlns:c16r2="http://schemas.microsoft.com/office/drawing/2015/06/chart">
            <c:ext xmlns:c16="http://schemas.microsoft.com/office/drawing/2014/chart" uri="{C3380CC4-5D6E-409C-BE32-E72D297353CC}">
              <c16:uniqueId val="{00000004-AA59-40CA-B4B7-B6B01F32EF06}"/>
            </c:ext>
          </c:extLst>
        </c:ser>
        <c:ser>
          <c:idx val="3"/>
          <c:order val="5"/>
          <c:tx>
            <c:strRef>
              <c:f>'LA timeseries'!$J$21</c:f>
              <c:strCache>
                <c:ptCount val="1"/>
                <c:pt idx="0">
                  <c:v>24m PCV booster % </c:v>
                </c:pt>
              </c:strCache>
            </c:strRef>
          </c:tx>
          <c:spPr>
            <a:ln w="19050">
              <a:solidFill>
                <a:schemeClr val="accent4">
                  <a:lumMod val="60000"/>
                  <a:lumOff val="40000"/>
                </a:schemeClr>
              </a:solidFill>
            </a:ln>
          </c:spPr>
          <c:marker>
            <c:symbol val="none"/>
          </c:marker>
          <c:cat>
            <c:strRef>
              <c:f>'LA timeseries'!$D$22:$D$38</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timeseries'!$J$22:$J$38</c:f>
              <c:numCache>
                <c:formatCode>0.0</c:formatCode>
                <c:ptCount val="17"/>
                <c:pt idx="0">
                  <c:v>87</c:v>
                </c:pt>
                <c:pt idx="1">
                  <c:v>#N/A</c:v>
                </c:pt>
                <c:pt idx="2">
                  <c:v>84.9</c:v>
                </c:pt>
                <c:pt idx="3">
                  <c:v>85.7</c:v>
                </c:pt>
                <c:pt idx="4">
                  <c:v>88.7</c:v>
                </c:pt>
                <c:pt idx="5">
                  <c:v>85.4</c:v>
                </c:pt>
                <c:pt idx="6">
                  <c:v>88.9</c:v>
                </c:pt>
                <c:pt idx="7">
                  <c:v>88.3</c:v>
                </c:pt>
                <c:pt idx="8">
                  <c:v>88.8</c:v>
                </c:pt>
                <c:pt idx="9">
                  <c:v>85</c:v>
                </c:pt>
                <c:pt idx="10">
                  <c:v>87.6</c:v>
                </c:pt>
                <c:pt idx="11">
                  <c:v>86.8</c:v>
                </c:pt>
                <c:pt idx="12">
                  <c:v>84.4</c:v>
                </c:pt>
                <c:pt idx="13">
                  <c:v>81.7</c:v>
                </c:pt>
                <c:pt idx="14">
                  <c:v>82.5</c:v>
                </c:pt>
                <c:pt idx="15">
                  <c:v>82.6</c:v>
                </c:pt>
                <c:pt idx="16">
                  <c:v>82.4</c:v>
                </c:pt>
              </c:numCache>
            </c:numRef>
          </c:val>
          <c:smooth val="0"/>
          <c:extLst xmlns:c16r2="http://schemas.microsoft.com/office/drawing/2015/06/chart">
            <c:ext xmlns:c16="http://schemas.microsoft.com/office/drawing/2014/chart" uri="{C3380CC4-5D6E-409C-BE32-E72D297353CC}">
              <c16:uniqueId val="{00000005-AA59-40CA-B4B7-B6B01F32EF06}"/>
            </c:ext>
          </c:extLst>
        </c:ser>
        <c:ser>
          <c:idx val="4"/>
          <c:order val="6"/>
          <c:tx>
            <c:strRef>
              <c:f>'LA timeseries'!$K$21</c:f>
              <c:strCache>
                <c:ptCount val="1"/>
                <c:pt idx="0">
                  <c:v>24m MMR % </c:v>
                </c:pt>
              </c:strCache>
            </c:strRef>
          </c:tx>
          <c:spPr>
            <a:ln w="19050">
              <a:solidFill>
                <a:srgbClr val="00B0F0"/>
              </a:solidFill>
            </a:ln>
          </c:spPr>
          <c:marker>
            <c:symbol val="none"/>
          </c:marker>
          <c:cat>
            <c:strRef>
              <c:f>'LA timeseries'!$D$22:$D$38</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timeseries'!$K$22:$K$38</c:f>
              <c:numCache>
                <c:formatCode>0.0</c:formatCode>
                <c:ptCount val="17"/>
                <c:pt idx="0">
                  <c:v>88.5</c:v>
                </c:pt>
                <c:pt idx="1">
                  <c:v>#N/A</c:v>
                </c:pt>
                <c:pt idx="2">
                  <c:v>89.6</c:v>
                </c:pt>
                <c:pt idx="3">
                  <c:v>91</c:v>
                </c:pt>
                <c:pt idx="4">
                  <c:v>89.2</c:v>
                </c:pt>
                <c:pt idx="5">
                  <c:v>86.4</c:v>
                </c:pt>
                <c:pt idx="6">
                  <c:v>89.2</c:v>
                </c:pt>
                <c:pt idx="7">
                  <c:v>88.9</c:v>
                </c:pt>
                <c:pt idx="8">
                  <c:v>88.3</c:v>
                </c:pt>
                <c:pt idx="9">
                  <c:v>85.5</c:v>
                </c:pt>
                <c:pt idx="10">
                  <c:v>87.4</c:v>
                </c:pt>
                <c:pt idx="11">
                  <c:v>86.2</c:v>
                </c:pt>
                <c:pt idx="12">
                  <c:v>85.3</c:v>
                </c:pt>
                <c:pt idx="13">
                  <c:v>82.6</c:v>
                </c:pt>
                <c:pt idx="14">
                  <c:v>83.8</c:v>
                </c:pt>
                <c:pt idx="15">
                  <c:v>85.2</c:v>
                </c:pt>
                <c:pt idx="16">
                  <c:v>82.7</c:v>
                </c:pt>
              </c:numCache>
            </c:numRef>
          </c:val>
          <c:smooth val="0"/>
          <c:extLst xmlns:c16r2="http://schemas.microsoft.com/office/drawing/2015/06/chart">
            <c:ext xmlns:c16="http://schemas.microsoft.com/office/drawing/2014/chart" uri="{C3380CC4-5D6E-409C-BE32-E72D297353CC}">
              <c16:uniqueId val="{00000006-AA59-40CA-B4B7-B6B01F32EF06}"/>
            </c:ext>
          </c:extLst>
        </c:ser>
        <c:ser>
          <c:idx val="5"/>
          <c:order val="7"/>
          <c:tx>
            <c:strRef>
              <c:f>'LA timeseries'!$L$21</c:f>
              <c:strCache>
                <c:ptCount val="1"/>
                <c:pt idx="0">
                  <c:v>5yr DTaP/IPV booster % </c:v>
                </c:pt>
              </c:strCache>
            </c:strRef>
          </c:tx>
          <c:spPr>
            <a:ln w="19050">
              <a:prstDash val="sysDash"/>
            </a:ln>
          </c:spPr>
          <c:marker>
            <c:symbol val="none"/>
          </c:marker>
          <c:cat>
            <c:strRef>
              <c:f>'LA timeseries'!$D$22:$D$38</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timeseries'!$L$22:$L$38</c:f>
              <c:numCache>
                <c:formatCode>0.0</c:formatCode>
                <c:ptCount val="17"/>
                <c:pt idx="0">
                  <c:v>81</c:v>
                </c:pt>
                <c:pt idx="1">
                  <c:v>81.400000000000006</c:v>
                </c:pt>
                <c:pt idx="2">
                  <c:v>79.599999999999994</c:v>
                </c:pt>
                <c:pt idx="3">
                  <c:v>#N/A</c:v>
                </c:pt>
                <c:pt idx="4">
                  <c:v>84.4</c:v>
                </c:pt>
                <c:pt idx="5">
                  <c:v>84.3</c:v>
                </c:pt>
                <c:pt idx="6">
                  <c:v>83.8</c:v>
                </c:pt>
                <c:pt idx="7">
                  <c:v>82.2</c:v>
                </c:pt>
                <c:pt idx="8">
                  <c:v>85.3</c:v>
                </c:pt>
                <c:pt idx="9">
                  <c:v>83.2</c:v>
                </c:pt>
                <c:pt idx="10">
                  <c:v>84.2</c:v>
                </c:pt>
                <c:pt idx="11">
                  <c:v>83</c:v>
                </c:pt>
                <c:pt idx="12">
                  <c:v>81.3</c:v>
                </c:pt>
                <c:pt idx="13">
                  <c:v>82.4</c:v>
                </c:pt>
                <c:pt idx="14">
                  <c:v>80.900000000000006</c:v>
                </c:pt>
                <c:pt idx="15">
                  <c:v>80.400000000000006</c:v>
                </c:pt>
                <c:pt idx="16">
                  <c:v>80.7</c:v>
                </c:pt>
              </c:numCache>
            </c:numRef>
          </c:val>
          <c:smooth val="0"/>
          <c:extLst xmlns:c16r2="http://schemas.microsoft.com/office/drawing/2015/06/chart">
            <c:ext xmlns:c16="http://schemas.microsoft.com/office/drawing/2014/chart" uri="{C3380CC4-5D6E-409C-BE32-E72D297353CC}">
              <c16:uniqueId val="{00000007-AA59-40CA-B4B7-B6B01F32EF06}"/>
            </c:ext>
          </c:extLst>
        </c:ser>
        <c:ser>
          <c:idx val="6"/>
          <c:order val="8"/>
          <c:tx>
            <c:strRef>
              <c:f>'LA timeseries'!$M$21</c:f>
              <c:strCache>
                <c:ptCount val="1"/>
                <c:pt idx="0">
                  <c:v>5yr MMR2 % </c:v>
                </c:pt>
              </c:strCache>
            </c:strRef>
          </c:tx>
          <c:spPr>
            <a:ln w="19050">
              <a:solidFill>
                <a:srgbClr val="FFC000"/>
              </a:solidFill>
              <a:prstDash val="sysDash"/>
            </a:ln>
          </c:spPr>
          <c:marker>
            <c:symbol val="none"/>
          </c:marker>
          <c:cat>
            <c:strRef>
              <c:f>'LA timeseries'!$D$22:$D$38</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timeseries'!$M$22:$M$38</c:f>
              <c:numCache>
                <c:formatCode>0.0</c:formatCode>
                <c:ptCount val="17"/>
                <c:pt idx="0">
                  <c:v>83.8</c:v>
                </c:pt>
                <c:pt idx="1">
                  <c:v>86.3</c:v>
                </c:pt>
                <c:pt idx="2">
                  <c:v>82.4</c:v>
                </c:pt>
                <c:pt idx="3">
                  <c:v>85.2</c:v>
                </c:pt>
                <c:pt idx="4">
                  <c:v>86.3</c:v>
                </c:pt>
                <c:pt idx="5">
                  <c:v>83.4</c:v>
                </c:pt>
                <c:pt idx="6">
                  <c:v>83.1</c:v>
                </c:pt>
                <c:pt idx="7">
                  <c:v>81.8</c:v>
                </c:pt>
                <c:pt idx="8">
                  <c:v>84.7</c:v>
                </c:pt>
                <c:pt idx="9">
                  <c:v>83</c:v>
                </c:pt>
                <c:pt idx="10">
                  <c:v>83</c:v>
                </c:pt>
                <c:pt idx="11">
                  <c:v>83</c:v>
                </c:pt>
                <c:pt idx="12">
                  <c:v>80.400000000000006</c:v>
                </c:pt>
                <c:pt idx="13">
                  <c:v>80.3</c:v>
                </c:pt>
                <c:pt idx="14">
                  <c:v>80.900000000000006</c:v>
                </c:pt>
                <c:pt idx="15">
                  <c:v>79.900000000000006</c:v>
                </c:pt>
                <c:pt idx="16">
                  <c:v>79.400000000000006</c:v>
                </c:pt>
              </c:numCache>
            </c:numRef>
          </c:val>
          <c:smooth val="0"/>
          <c:extLst xmlns:c16r2="http://schemas.microsoft.com/office/drawing/2015/06/chart">
            <c:ext xmlns:c16="http://schemas.microsoft.com/office/drawing/2014/chart" uri="{C3380CC4-5D6E-409C-BE32-E72D297353CC}">
              <c16:uniqueId val="{00000008-AA59-40CA-B4B7-B6B01F32EF06}"/>
            </c:ext>
          </c:extLst>
        </c:ser>
        <c:dLbls>
          <c:showLegendKey val="0"/>
          <c:showVal val="0"/>
          <c:showCatName val="0"/>
          <c:showSerName val="0"/>
          <c:showPercent val="0"/>
          <c:showBubbleSize val="0"/>
        </c:dLbls>
        <c:marker val="1"/>
        <c:smooth val="0"/>
        <c:axId val="132113152"/>
        <c:axId val="132114688"/>
      </c:lineChart>
      <c:catAx>
        <c:axId val="132113152"/>
        <c:scaling>
          <c:orientation val="minMax"/>
        </c:scaling>
        <c:delete val="0"/>
        <c:axPos val="b"/>
        <c:numFmt formatCode="General" sourceLinked="1"/>
        <c:majorTickMark val="out"/>
        <c:minorTickMark val="none"/>
        <c:tickLblPos val="nextTo"/>
        <c:txPr>
          <a:bodyPr/>
          <a:lstStyle/>
          <a:p>
            <a:pPr>
              <a:defRPr sz="1050"/>
            </a:pPr>
            <a:endParaRPr lang="en-US"/>
          </a:p>
        </c:txPr>
        <c:crossAx val="132114688"/>
        <c:crosses val="autoZero"/>
        <c:auto val="1"/>
        <c:lblAlgn val="ctr"/>
        <c:lblOffset val="100"/>
        <c:noMultiLvlLbl val="0"/>
      </c:catAx>
      <c:valAx>
        <c:axId val="132114688"/>
        <c:scaling>
          <c:orientation val="minMax"/>
          <c:max val="100"/>
          <c:min val="30"/>
        </c:scaling>
        <c:delete val="0"/>
        <c:axPos val="l"/>
        <c:numFmt formatCode="0" sourceLinked="0"/>
        <c:majorTickMark val="out"/>
        <c:minorTickMark val="none"/>
        <c:tickLblPos val="nextTo"/>
        <c:crossAx val="1321131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'LA timeseries'!$F$21</c:f>
          <c:strCache>
            <c:ptCount val="1"/>
            <c:pt idx="0">
              <c:v>12m Rota virus %</c:v>
            </c:pt>
          </c:strCache>
        </c:strRef>
      </c:tx>
      <c:overlay val="0"/>
      <c:txPr>
        <a:bodyPr/>
        <a:lstStyle/>
        <a:p>
          <a:pPr>
            <a:defRPr sz="1200"/>
          </a:pPr>
          <a:endParaRPr lang="en-US"/>
        </a:p>
      </c:txPr>
    </c:title>
    <c:autoTitleDeleted val="0"/>
    <c:plotArea>
      <c:layout/>
      <c:lineChart>
        <c:grouping val="standard"/>
        <c:varyColors val="0"/>
        <c:ser>
          <c:idx val="0"/>
          <c:order val="0"/>
          <c:tx>
            <c:strRef>
              <c:f>'LA timeseries pivots'!$C$4</c:f>
              <c:strCache>
                <c:ptCount val="1"/>
                <c:pt idx="0">
                  <c:v>Harrow</c:v>
                </c:pt>
              </c:strCache>
            </c:strRef>
          </c:tx>
          <c:spPr>
            <a:ln>
              <a:solidFill>
                <a:schemeClr val="accent2">
                  <a:lumMod val="60000"/>
                  <a:lumOff val="40000"/>
                </a:schemeClr>
              </a:solidFill>
            </a:ln>
          </c:spPr>
          <c:marker>
            <c:symbol val="none"/>
          </c:marker>
          <c:cat>
            <c:strRef>
              <c:f>'LA timeseries pivots'!$B$37:$B$53</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timeseries'!$F$22:$F$38</c:f>
              <c:numCache>
                <c:formatCode>0.0</c:formatCode>
                <c:ptCount val="17"/>
                <c:pt idx="0">
                  <c:v>#N/A</c:v>
                </c:pt>
                <c:pt idx="1">
                  <c:v>#N/A</c:v>
                </c:pt>
                <c:pt idx="2">
                  <c:v>#N/A</c:v>
                </c:pt>
                <c:pt idx="3">
                  <c:v>#N/A</c:v>
                </c:pt>
                <c:pt idx="4">
                  <c:v>88</c:v>
                </c:pt>
                <c:pt idx="5">
                  <c:v>88.2</c:v>
                </c:pt>
                <c:pt idx="6">
                  <c:v>87.1</c:v>
                </c:pt>
                <c:pt idx="7">
                  <c:v>85.4</c:v>
                </c:pt>
                <c:pt idx="8">
                  <c:v>87.5</c:v>
                </c:pt>
                <c:pt idx="9">
                  <c:v>86.8</c:v>
                </c:pt>
                <c:pt idx="10">
                  <c:v>89.3</c:v>
                </c:pt>
                <c:pt idx="11">
                  <c:v>88.6</c:v>
                </c:pt>
                <c:pt idx="12">
                  <c:v>83.9</c:v>
                </c:pt>
                <c:pt idx="13">
                  <c:v>87.9</c:v>
                </c:pt>
                <c:pt idx="14">
                  <c:v>85.7</c:v>
                </c:pt>
                <c:pt idx="15">
                  <c:v>87.5</c:v>
                </c:pt>
                <c:pt idx="16">
                  <c:v>85.1</c:v>
                </c:pt>
              </c:numCache>
            </c:numRef>
          </c:val>
          <c:smooth val="0"/>
          <c:extLst xmlns:c16r2="http://schemas.microsoft.com/office/drawing/2015/06/chart">
            <c:ext xmlns:c16="http://schemas.microsoft.com/office/drawing/2014/chart" uri="{C3380CC4-5D6E-409C-BE32-E72D297353CC}">
              <c16:uniqueId val="{00000000-16DB-4766-8A2C-9182E4298606}"/>
            </c:ext>
          </c:extLst>
        </c:ser>
        <c:ser>
          <c:idx val="1"/>
          <c:order val="1"/>
          <c:tx>
            <c:strRef>
              <c:f>'LA timeseries pivots'!$C$3</c:f>
              <c:strCache>
                <c:ptCount val="1"/>
                <c:pt idx="0">
                  <c:v>London</c:v>
                </c:pt>
              </c:strCache>
            </c:strRef>
          </c:tx>
          <c:spPr>
            <a:ln>
              <a:solidFill>
                <a:schemeClr val="tx1"/>
              </a:solidFill>
              <a:prstDash val="sysDot"/>
            </a:ln>
          </c:spPr>
          <c:marker>
            <c:symbol val="none"/>
          </c:marker>
          <c:cat>
            <c:strRef>
              <c:f>'LA timeseries pivots'!$B$37:$B$53</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 pivots'!$D$37:$D$53</c:f>
              <c:numCache>
                <c:formatCode>0.0</c:formatCode>
                <c:ptCount val="17"/>
                <c:pt idx="0">
                  <c:v>#N/A</c:v>
                </c:pt>
                <c:pt idx="1">
                  <c:v>#N/A</c:v>
                </c:pt>
                <c:pt idx="2">
                  <c:v>#N/A</c:v>
                </c:pt>
                <c:pt idx="3">
                  <c:v>#N/A</c:v>
                </c:pt>
                <c:pt idx="4">
                  <c:v>#N/A</c:v>
                </c:pt>
                <c:pt idx="5">
                  <c:v>85.380793963817212</c:v>
                </c:pt>
                <c:pt idx="6">
                  <c:v>86.336682951182127</c:v>
                </c:pt>
                <c:pt idx="7">
                  <c:v>85.108344499032313</c:v>
                </c:pt>
                <c:pt idx="8">
                  <c:v>86.643392245702628</c:v>
                </c:pt>
                <c:pt idx="9">
                  <c:v>86.173881633787161</c:v>
                </c:pt>
                <c:pt idx="10">
                  <c:v>86.332789207637077</c:v>
                </c:pt>
                <c:pt idx="11">
                  <c:v>86.603368709346114</c:v>
                </c:pt>
                <c:pt idx="12">
                  <c:v>85.341622753903039</c:v>
                </c:pt>
                <c:pt idx="13">
                  <c:v>86.933299098115995</c:v>
                </c:pt>
                <c:pt idx="14">
                  <c:v>87.206539219168803</c:v>
                </c:pt>
                <c:pt idx="15">
                  <c:v>87.150987864807945</c:v>
                </c:pt>
                <c:pt idx="16">
                  <c:v>84.694817469631133</c:v>
                </c:pt>
              </c:numCache>
            </c:numRef>
          </c:val>
          <c:smooth val="0"/>
          <c:extLst xmlns:c16r2="http://schemas.microsoft.com/office/drawing/2015/06/chart">
            <c:ext xmlns:c16="http://schemas.microsoft.com/office/drawing/2014/chart" uri="{C3380CC4-5D6E-409C-BE32-E72D297353CC}">
              <c16:uniqueId val="{00000001-16DB-4766-8A2C-9182E4298606}"/>
            </c:ext>
          </c:extLst>
        </c:ser>
        <c:ser>
          <c:idx val="2"/>
          <c:order val="2"/>
          <c:tx>
            <c:v>England</c:v>
          </c:tx>
          <c:spPr>
            <a:ln>
              <a:solidFill>
                <a:schemeClr val="bg1">
                  <a:lumMod val="75000"/>
                </a:schemeClr>
              </a:solidFill>
              <a:prstDash val="sysDot"/>
            </a:ln>
          </c:spPr>
          <c:marker>
            <c:symbol val="none"/>
          </c:marker>
          <c:cat>
            <c:strRef>
              <c:f>'LA timeseries pivots'!$B$37:$B$53</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 pivots'!$P$37:$P$53</c:f>
              <c:numCache>
                <c:formatCode>0.0</c:formatCode>
                <c:ptCount val="17"/>
                <c:pt idx="0">
                  <c:v>#N/A</c:v>
                </c:pt>
                <c:pt idx="1">
                  <c:v>#N/A</c:v>
                </c:pt>
                <c:pt idx="2">
                  <c:v>#N/A</c:v>
                </c:pt>
                <c:pt idx="3">
                  <c:v>#N/A</c:v>
                </c:pt>
                <c:pt idx="4">
                  <c:v>#N/A</c:v>
                </c:pt>
                <c:pt idx="5">
                  <c:v>88.4</c:v>
                </c:pt>
                <c:pt idx="6">
                  <c:v>89.6</c:v>
                </c:pt>
                <c:pt idx="7">
                  <c:v>89.7</c:v>
                </c:pt>
                <c:pt idx="8">
                  <c:v>89.5</c:v>
                </c:pt>
                <c:pt idx="9">
                  <c:v>89.3</c:v>
                </c:pt>
                <c:pt idx="10">
                  <c:v>90.1</c:v>
                </c:pt>
                <c:pt idx="11">
                  <c:v>90.1</c:v>
                </c:pt>
                <c:pt idx="12">
                  <c:v>90.2</c:v>
                </c:pt>
                <c:pt idx="13">
                  <c:v>89.9</c:v>
                </c:pt>
                <c:pt idx="14">
                  <c:v>90.6</c:v>
                </c:pt>
                <c:pt idx="15">
                  <c:v>90.3</c:v>
                </c:pt>
                <c:pt idx="16">
                  <c:v>#N/A</c:v>
                </c:pt>
              </c:numCache>
            </c:numRef>
          </c:val>
          <c:smooth val="0"/>
          <c:extLst xmlns:c16r2="http://schemas.microsoft.com/office/drawing/2015/06/chart">
            <c:ext xmlns:c16="http://schemas.microsoft.com/office/drawing/2014/chart" uri="{C3380CC4-5D6E-409C-BE32-E72D297353CC}">
              <c16:uniqueId val="{00000002-16DB-4766-8A2C-9182E4298606}"/>
            </c:ext>
          </c:extLst>
        </c:ser>
        <c:dLbls>
          <c:showLegendKey val="0"/>
          <c:showVal val="0"/>
          <c:showCatName val="0"/>
          <c:showSerName val="0"/>
          <c:showPercent val="0"/>
          <c:showBubbleSize val="0"/>
        </c:dLbls>
        <c:marker val="1"/>
        <c:smooth val="0"/>
        <c:axId val="160327936"/>
        <c:axId val="160329728"/>
      </c:lineChart>
      <c:catAx>
        <c:axId val="160327936"/>
        <c:scaling>
          <c:orientation val="minMax"/>
        </c:scaling>
        <c:delete val="0"/>
        <c:axPos val="b"/>
        <c:numFmt formatCode="General" sourceLinked="1"/>
        <c:majorTickMark val="out"/>
        <c:minorTickMark val="none"/>
        <c:tickLblPos val="nextTo"/>
        <c:txPr>
          <a:bodyPr/>
          <a:lstStyle/>
          <a:p>
            <a:pPr>
              <a:defRPr sz="900"/>
            </a:pPr>
            <a:endParaRPr lang="en-US"/>
          </a:p>
        </c:txPr>
        <c:crossAx val="160329728"/>
        <c:crosses val="autoZero"/>
        <c:auto val="1"/>
        <c:lblAlgn val="ctr"/>
        <c:lblOffset val="100"/>
        <c:noMultiLvlLbl val="0"/>
      </c:catAx>
      <c:valAx>
        <c:axId val="160329728"/>
        <c:scaling>
          <c:orientation val="minMax"/>
        </c:scaling>
        <c:delete val="0"/>
        <c:axPos val="l"/>
        <c:numFmt formatCode="0" sourceLinked="0"/>
        <c:majorTickMark val="out"/>
        <c:minorTickMark val="none"/>
        <c:tickLblPos val="nextTo"/>
        <c:crossAx val="16032793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'STP summary'!$A$1</c:f>
              <c:strCache>
                <c:ptCount val="1"/>
                <c:pt idx="0">
                  <c:v>Q1 1819 - 12m Rota</c:v>
                </c:pt>
              </c:strCache>
            </c:strRef>
          </c:tx>
          <c:spPr>
            <a:solidFill>
              <a:schemeClr val="tx2">
                <a:lumMod val="40000"/>
                <a:lumOff val="60000"/>
              </a:schemeClr>
            </a:solidFill>
          </c:spPr>
          <c:invertIfNegative val="0"/>
          <c:dPt>
            <c:idx val="0"/>
            <c:invertIfNegative val="0"/>
            <c:bubble3D val="0"/>
            <c:spPr>
              <a:solidFill>
                <a:srgbClr val="FFCDF5"/>
              </a:solidFill>
            </c:spPr>
            <c:extLst xmlns:c16r2="http://schemas.microsoft.com/office/drawing/2015/06/chart">
              <c:ext xmlns:c16="http://schemas.microsoft.com/office/drawing/2014/chart" uri="{C3380CC4-5D6E-409C-BE32-E72D297353CC}">
                <c16:uniqueId val="{00000001-4BB7-1F46-95DD-776655DB25B1}"/>
              </c:ext>
            </c:extLst>
          </c:dPt>
          <c:dPt>
            <c:idx val="1"/>
            <c:invertIfNegative val="0"/>
            <c:bubble3D val="0"/>
            <c:spPr>
              <a:solidFill>
                <a:srgbClr val="0070C0"/>
              </a:solidFill>
            </c:spPr>
            <c:extLst xmlns:c16r2="http://schemas.microsoft.com/office/drawing/2015/06/chart">
              <c:ext xmlns:c16="http://schemas.microsoft.com/office/drawing/2014/chart" uri="{C3380CC4-5D6E-409C-BE32-E72D297353CC}">
                <c16:uniqueId val="{00000003-4BB7-1F46-95DD-776655DB25B1}"/>
              </c:ext>
            </c:extLst>
          </c:dPt>
          <c:cat>
            <c:strRef>
              <c:f>'Child Imms (LA COVER) v1 Q1_1415-Q1_1819 v1.0.xlsm'!STPchart</c:f>
              <c:strCache>
                <c:ptCount val="10"/>
                <c:pt idx="0">
                  <c:v>LA with highest uptake - London</c:v>
                </c:pt>
                <c:pt idx="1">
                  <c:v>North West London STP</c:v>
                </c:pt>
                <c:pt idx="2">
                  <c:v>Brent</c:v>
                </c:pt>
                <c:pt idx="3">
                  <c:v>Ealing</c:v>
                </c:pt>
                <c:pt idx="4">
                  <c:v>Hammersmith and Fulham</c:v>
                </c:pt>
                <c:pt idx="5">
                  <c:v>Harrow</c:v>
                </c:pt>
                <c:pt idx="6">
                  <c:v>Hillingdon</c:v>
                </c:pt>
                <c:pt idx="7">
                  <c:v>Hounslow</c:v>
                </c:pt>
                <c:pt idx="8">
                  <c:v>Kensington and Chelsea</c:v>
                </c:pt>
                <c:pt idx="9">
                  <c:v>Westminster</c:v>
                </c:pt>
              </c:strCache>
            </c:strRef>
          </c:cat>
          <c:val>
            <c:numRef>
              <c:f>'Child Imms (LA COVER) v1 Q1_1415-Q1_1819 v1.0.xlsm'!stpsummarydatalastq</c:f>
              <c:numCache>
                <c:formatCode>0.0%</c:formatCode>
                <c:ptCount val="10"/>
                <c:pt idx="0">
                  <c:v>0.91700000000000004</c:v>
                </c:pt>
                <c:pt idx="1">
                  <c:v>0.85731292994524799</c:v>
                </c:pt>
                <c:pt idx="2">
                  <c:v>0.86699999999999999</c:v>
                </c:pt>
                <c:pt idx="3">
                  <c:v>0.872</c:v>
                </c:pt>
                <c:pt idx="4">
                  <c:v>0.85400000000000009</c:v>
                </c:pt>
                <c:pt idx="5">
                  <c:v>0.85099999999999998</c:v>
                </c:pt>
                <c:pt idx="6">
                  <c:v>0.88800000000000001</c:v>
                </c:pt>
                <c:pt idx="7">
                  <c:v>0.875</c:v>
                </c:pt>
                <c:pt idx="8">
                  <c:v>0.78599999999999992</c:v>
                </c:pt>
                <c:pt idx="9">
                  <c:v>0.79500000000000004</c:v>
                </c:pt>
              </c:numCache>
            </c:numRef>
          </c:val>
          <c:extLst xmlns:c16r2="http://schemas.microsoft.com/office/drawing/2015/06/chart">
            <c:ext xmlns:c16="http://schemas.microsoft.com/office/drawing/2014/chart" uri="{C3380CC4-5D6E-409C-BE32-E72D297353CC}">
              <c16:uniqueId val="{00000004-4BB7-1F46-95DD-776655DB25B1}"/>
            </c:ext>
          </c:extLst>
        </c:ser>
        <c:dLbls>
          <c:showLegendKey val="0"/>
          <c:showVal val="0"/>
          <c:showCatName val="0"/>
          <c:showSerName val="0"/>
          <c:showPercent val="0"/>
          <c:showBubbleSize val="0"/>
        </c:dLbls>
        <c:gapWidth val="155"/>
        <c:axId val="160365184"/>
        <c:axId val="188313984"/>
      </c:barChart>
      <c:lineChart>
        <c:grouping val="standard"/>
        <c:varyColors val="0"/>
        <c:ser>
          <c:idx val="0"/>
          <c:order val="1"/>
          <c:tx>
            <c:strRef>
              <c:f>'STP summary'!$H$13</c:f>
              <c:strCache>
                <c:ptCount val="1"/>
                <c:pt idx="0">
                  <c:v>Target</c:v>
                </c:pt>
              </c:strCache>
            </c:strRef>
          </c:tx>
          <c:spPr>
            <a:ln w="19050">
              <a:solidFill>
                <a:srgbClr val="FF0000"/>
              </a:solidFill>
            </a:ln>
          </c:spPr>
          <c:marker>
            <c:symbol val="none"/>
          </c:marker>
          <c:cat>
            <c:strRef>
              <c:f>'Child Imms (LA COVER) v1 Q1_1415-Q1_1819 v1.0.xlsm'!STPchart</c:f>
              <c:strCache>
                <c:ptCount val="10"/>
                <c:pt idx="0">
                  <c:v>LA with highest uptake - London</c:v>
                </c:pt>
                <c:pt idx="1">
                  <c:v>North West London STP</c:v>
                </c:pt>
                <c:pt idx="2">
                  <c:v>Brent</c:v>
                </c:pt>
                <c:pt idx="3">
                  <c:v>Ealing</c:v>
                </c:pt>
                <c:pt idx="4">
                  <c:v>Hammersmith and Fulham</c:v>
                </c:pt>
                <c:pt idx="5">
                  <c:v>Harrow</c:v>
                </c:pt>
                <c:pt idx="6">
                  <c:v>Hillingdon</c:v>
                </c:pt>
                <c:pt idx="7">
                  <c:v>Hounslow</c:v>
                </c:pt>
                <c:pt idx="8">
                  <c:v>Kensington and Chelsea</c:v>
                </c:pt>
                <c:pt idx="9">
                  <c:v>Westminster</c:v>
                </c:pt>
              </c:strCache>
            </c:strRef>
          </c:cat>
          <c:val>
            <c:numRef>
              <c:f>'Child Imms (LA COVER) v1 Q1_1415-Q1_1819 v1.0.xlsm'!stpchttarget</c:f>
              <c:numCache>
                <c:formatCode>_(* #,##0.0000_);_(* \(#,##0.0000\);_(* **""**_);_(@_)</c:formatCode>
                <c:ptCount val="10"/>
                <c:pt idx="0">
                  <c:v>0.95</c:v>
                </c:pt>
                <c:pt idx="1">
                  <c:v>0.95</c:v>
                </c:pt>
                <c:pt idx="2">
                  <c:v>0.95</c:v>
                </c:pt>
                <c:pt idx="3">
                  <c:v>0.95</c:v>
                </c:pt>
                <c:pt idx="4">
                  <c:v>0.95</c:v>
                </c:pt>
                <c:pt idx="5">
                  <c:v>0.95</c:v>
                </c:pt>
                <c:pt idx="6">
                  <c:v>0.95</c:v>
                </c:pt>
                <c:pt idx="7">
                  <c:v>0.95</c:v>
                </c:pt>
                <c:pt idx="8">
                  <c:v>0.95</c:v>
                </c:pt>
                <c:pt idx="9">
                  <c:v>0.95</c:v>
                </c:pt>
              </c:numCache>
            </c:numRef>
          </c:val>
          <c:smooth val="0"/>
          <c:extLst xmlns:c16r2="http://schemas.microsoft.com/office/drawing/2015/06/chart">
            <c:ext xmlns:c16="http://schemas.microsoft.com/office/drawing/2014/chart" uri="{C3380CC4-5D6E-409C-BE32-E72D297353CC}">
              <c16:uniqueId val="{00000005-4BB7-1F46-95DD-776655DB25B1}"/>
            </c:ext>
          </c:extLst>
        </c:ser>
        <c:ser>
          <c:idx val="2"/>
          <c:order val="2"/>
          <c:tx>
            <c:strRef>
              <c:f>'STP summary'!$I$13</c:f>
              <c:strCache>
                <c:ptCount val="1"/>
                <c:pt idx="0">
                  <c:v>London Region</c:v>
                </c:pt>
              </c:strCache>
            </c:strRef>
          </c:tx>
          <c:spPr>
            <a:ln w="25400">
              <a:solidFill>
                <a:schemeClr val="tx2">
                  <a:lumMod val="60000"/>
                  <a:lumOff val="40000"/>
                </a:schemeClr>
              </a:solidFill>
              <a:prstDash val="sysDot"/>
            </a:ln>
          </c:spPr>
          <c:marker>
            <c:symbol val="none"/>
          </c:marker>
          <c:cat>
            <c:strRef>
              <c:f>'Child Imms (LA COVER) v1 Q1_1415-Q1_1819 v1.0.xlsm'!STPchart</c:f>
              <c:strCache>
                <c:ptCount val="10"/>
                <c:pt idx="0">
                  <c:v>LA with highest uptake - London</c:v>
                </c:pt>
                <c:pt idx="1">
                  <c:v>North West London STP</c:v>
                </c:pt>
                <c:pt idx="2">
                  <c:v>Brent</c:v>
                </c:pt>
                <c:pt idx="3">
                  <c:v>Ealing</c:v>
                </c:pt>
                <c:pt idx="4">
                  <c:v>Hammersmith and Fulham</c:v>
                </c:pt>
                <c:pt idx="5">
                  <c:v>Harrow</c:v>
                </c:pt>
                <c:pt idx="6">
                  <c:v>Hillingdon</c:v>
                </c:pt>
                <c:pt idx="7">
                  <c:v>Hounslow</c:v>
                </c:pt>
                <c:pt idx="8">
                  <c:v>Kensington and Chelsea</c:v>
                </c:pt>
                <c:pt idx="9">
                  <c:v>Westminster</c:v>
                </c:pt>
              </c:strCache>
            </c:strRef>
          </c:cat>
          <c:val>
            <c:numRef>
              <c:f>'Child Imms (LA COVER) v1 Q1_1415-Q1_1819 v1.0.xlsm'!stpchtregion</c:f>
              <c:numCache>
                <c:formatCode>_(* #,##0.0000_);_(* \(#,##0.0000\);_(* **""**_);_(@_)</c:formatCode>
                <c:ptCount val="10"/>
                <c:pt idx="0">
                  <c:v>0.84694817469631134</c:v>
                </c:pt>
                <c:pt idx="1">
                  <c:v>0.84694817469631134</c:v>
                </c:pt>
                <c:pt idx="2">
                  <c:v>0.84694817469631134</c:v>
                </c:pt>
                <c:pt idx="3">
                  <c:v>0.84694817469631134</c:v>
                </c:pt>
                <c:pt idx="4">
                  <c:v>0.84694817469631134</c:v>
                </c:pt>
                <c:pt idx="5">
                  <c:v>0.84694817469631134</c:v>
                </c:pt>
                <c:pt idx="6">
                  <c:v>0.84694817469631134</c:v>
                </c:pt>
                <c:pt idx="7">
                  <c:v>0.84694817469631134</c:v>
                </c:pt>
                <c:pt idx="8">
                  <c:v>0.84694817469631134</c:v>
                </c:pt>
                <c:pt idx="9">
                  <c:v>0.84694817469631134</c:v>
                </c:pt>
              </c:numCache>
            </c:numRef>
          </c:val>
          <c:smooth val="0"/>
          <c:extLst xmlns:c16r2="http://schemas.microsoft.com/office/drawing/2015/06/chart">
            <c:ext xmlns:c16="http://schemas.microsoft.com/office/drawing/2014/chart" uri="{C3380CC4-5D6E-409C-BE32-E72D297353CC}">
              <c16:uniqueId val="{00000006-4BB7-1F46-95DD-776655DB25B1}"/>
            </c:ext>
          </c:extLst>
        </c:ser>
        <c:ser>
          <c:idx val="3"/>
          <c:order val="3"/>
          <c:tx>
            <c:strRef>
              <c:f>'STP summary'!$J$13</c:f>
              <c:strCache>
                <c:ptCount val="1"/>
                <c:pt idx="0">
                  <c:v>England</c:v>
                </c:pt>
              </c:strCache>
            </c:strRef>
          </c:tx>
          <c:spPr>
            <a:ln w="19050">
              <a:solidFill>
                <a:schemeClr val="tx1"/>
              </a:solidFill>
              <a:prstDash val="dash"/>
            </a:ln>
          </c:spPr>
          <c:marker>
            <c:symbol val="none"/>
          </c:marker>
          <c:cat>
            <c:strRef>
              <c:f>'Child Imms (LA COVER) v1 Q1_1415-Q1_1819 v1.0.xlsm'!STPchart</c:f>
              <c:strCache>
                <c:ptCount val="10"/>
                <c:pt idx="0">
                  <c:v>LA with highest uptake - London</c:v>
                </c:pt>
                <c:pt idx="1">
                  <c:v>North West London STP</c:v>
                </c:pt>
                <c:pt idx="2">
                  <c:v>Brent</c:v>
                </c:pt>
                <c:pt idx="3">
                  <c:v>Ealing</c:v>
                </c:pt>
                <c:pt idx="4">
                  <c:v>Hammersmith and Fulham</c:v>
                </c:pt>
                <c:pt idx="5">
                  <c:v>Harrow</c:v>
                </c:pt>
                <c:pt idx="6">
                  <c:v>Hillingdon</c:v>
                </c:pt>
                <c:pt idx="7">
                  <c:v>Hounslow</c:v>
                </c:pt>
                <c:pt idx="8">
                  <c:v>Kensington and Chelsea</c:v>
                </c:pt>
                <c:pt idx="9">
                  <c:v>Westminster</c:v>
                </c:pt>
              </c:strCache>
            </c:strRef>
          </c:cat>
          <c:val>
            <c:numRef>
              <c:f>'Child Imms (LA COVER) v1 Q1_1415-Q1_1819 v1.0.xlsm'!stpchtengland</c:f>
              <c:numCache>
                <c:formatCode>_(* #,##0.0000_);_(* \(#,##0.0000\);_(* **""**_);_(@_)</c:formatCode>
                <c:ptCount val="10"/>
                <c:pt idx="0">
                  <c:v>0</c:v>
                </c:pt>
                <c:pt idx="1">
                  <c:v>0</c:v>
                </c:pt>
                <c:pt idx="2">
                  <c:v>0</c:v>
                </c:pt>
                <c:pt idx="3">
                  <c:v>0</c:v>
                </c:pt>
                <c:pt idx="4">
                  <c:v>0</c:v>
                </c:pt>
                <c:pt idx="5">
                  <c:v>0</c:v>
                </c:pt>
                <c:pt idx="6">
                  <c:v>0</c:v>
                </c:pt>
                <c:pt idx="7">
                  <c:v>0</c:v>
                </c:pt>
                <c:pt idx="8">
                  <c:v>0</c:v>
                </c:pt>
                <c:pt idx="9">
                  <c:v>0</c:v>
                </c:pt>
              </c:numCache>
            </c:numRef>
          </c:val>
          <c:smooth val="0"/>
          <c:extLst xmlns:c16r2="http://schemas.microsoft.com/office/drawing/2015/06/chart">
            <c:ext xmlns:c16="http://schemas.microsoft.com/office/drawing/2014/chart" uri="{C3380CC4-5D6E-409C-BE32-E72D297353CC}">
              <c16:uniqueId val="{00000007-4BB7-1F46-95DD-776655DB25B1}"/>
            </c:ext>
          </c:extLst>
        </c:ser>
        <c:dLbls>
          <c:showLegendKey val="0"/>
          <c:showVal val="0"/>
          <c:showCatName val="0"/>
          <c:showSerName val="0"/>
          <c:showPercent val="0"/>
          <c:showBubbleSize val="0"/>
        </c:dLbls>
        <c:marker val="1"/>
        <c:smooth val="0"/>
        <c:axId val="160365184"/>
        <c:axId val="188313984"/>
      </c:lineChart>
      <c:catAx>
        <c:axId val="160365184"/>
        <c:scaling>
          <c:orientation val="minMax"/>
        </c:scaling>
        <c:delete val="0"/>
        <c:axPos val="b"/>
        <c:numFmt formatCode="_(* #,##0.0000_);_(* \(#,##0.0000\);_(* **&quot;&quot;**_);_(@_)" sourceLinked="0"/>
        <c:majorTickMark val="out"/>
        <c:minorTickMark val="none"/>
        <c:tickLblPos val="nextTo"/>
        <c:txPr>
          <a:bodyPr rot="0" vert="horz"/>
          <a:lstStyle/>
          <a:p>
            <a:pPr>
              <a:defRPr sz="800"/>
            </a:pPr>
            <a:endParaRPr lang="en-US"/>
          </a:p>
        </c:txPr>
        <c:crossAx val="188313984"/>
        <c:crosses val="autoZero"/>
        <c:auto val="1"/>
        <c:lblAlgn val="ctr"/>
        <c:lblOffset val="100"/>
        <c:noMultiLvlLbl val="0"/>
      </c:catAx>
      <c:valAx>
        <c:axId val="188313984"/>
        <c:scaling>
          <c:orientation val="minMax"/>
          <c:max val="1"/>
        </c:scaling>
        <c:delete val="0"/>
        <c:axPos val="l"/>
        <c:numFmt formatCode="0%" sourceLinked="0"/>
        <c:majorTickMark val="out"/>
        <c:minorTickMark val="none"/>
        <c:tickLblPos val="nextTo"/>
        <c:crossAx val="160365184"/>
        <c:crosses val="autoZero"/>
        <c:crossBetween val="between"/>
        <c:majorUnit val="0.2"/>
      </c:valAx>
    </c:plotArea>
    <c:legend>
      <c:legendPos val="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'LA timeseries'!$G$21</c:f>
          <c:strCache>
            <c:ptCount val="1"/>
            <c:pt idx="0">
              <c:v>12m Men B %</c:v>
            </c:pt>
          </c:strCache>
        </c:strRef>
      </c:tx>
      <c:overlay val="0"/>
      <c:txPr>
        <a:bodyPr/>
        <a:lstStyle/>
        <a:p>
          <a:pPr>
            <a:defRPr sz="1200"/>
          </a:pPr>
          <a:endParaRPr lang="en-US"/>
        </a:p>
      </c:txPr>
    </c:title>
    <c:autoTitleDeleted val="0"/>
    <c:plotArea>
      <c:layout/>
      <c:lineChart>
        <c:grouping val="standard"/>
        <c:varyColors val="0"/>
        <c:ser>
          <c:idx val="0"/>
          <c:order val="0"/>
          <c:tx>
            <c:strRef>
              <c:f>'LA timeseries pivots'!$C$4</c:f>
              <c:strCache>
                <c:ptCount val="1"/>
                <c:pt idx="0">
                  <c:v>Harrow</c:v>
                </c:pt>
              </c:strCache>
            </c:strRef>
          </c:tx>
          <c:spPr>
            <a:ln>
              <a:solidFill>
                <a:schemeClr val="accent3">
                  <a:lumMod val="60000"/>
                  <a:lumOff val="40000"/>
                </a:schemeClr>
              </a:solidFill>
            </a:ln>
          </c:spPr>
          <c:marker>
            <c:symbol val="none"/>
          </c:marker>
          <c:cat>
            <c:strRef>
              <c:f>'LA timeseries pivots'!$B$37:$B$53</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timeseries'!$G$22:$G$38</c:f>
              <c:numCache>
                <c:formatCode>0.0</c:formatCode>
                <c:ptCount val="17"/>
                <c:pt idx="0">
                  <c:v>#N/A</c:v>
                </c:pt>
                <c:pt idx="1">
                  <c:v>#N/A</c:v>
                </c:pt>
                <c:pt idx="2">
                  <c:v>#N/A</c:v>
                </c:pt>
                <c:pt idx="3">
                  <c:v>#N/A</c:v>
                </c:pt>
                <c:pt idx="4">
                  <c:v>#N/A</c:v>
                </c:pt>
                <c:pt idx="5">
                  <c:v>#N/A</c:v>
                </c:pt>
                <c:pt idx="6">
                  <c:v>#N/A</c:v>
                </c:pt>
                <c:pt idx="7">
                  <c:v>#N/A</c:v>
                </c:pt>
                <c:pt idx="8">
                  <c:v>#N/A</c:v>
                </c:pt>
                <c:pt idx="9">
                  <c:v>85.9</c:v>
                </c:pt>
                <c:pt idx="10">
                  <c:v>89</c:v>
                </c:pt>
                <c:pt idx="11">
                  <c:v>86.8</c:v>
                </c:pt>
                <c:pt idx="12">
                  <c:v>85.6</c:v>
                </c:pt>
                <c:pt idx="13">
                  <c:v>88</c:v>
                </c:pt>
                <c:pt idx="14">
                  <c:v>87.7</c:v>
                </c:pt>
                <c:pt idx="15">
                  <c:v>88.2</c:v>
                </c:pt>
                <c:pt idx="16">
                  <c:v>86.9</c:v>
                </c:pt>
              </c:numCache>
            </c:numRef>
          </c:val>
          <c:smooth val="0"/>
          <c:extLst xmlns:c16r2="http://schemas.microsoft.com/office/drawing/2015/06/chart">
            <c:ext xmlns:c16="http://schemas.microsoft.com/office/drawing/2014/chart" uri="{C3380CC4-5D6E-409C-BE32-E72D297353CC}">
              <c16:uniqueId val="{00000000-3536-48D2-B7F9-001DFD81EE60}"/>
            </c:ext>
          </c:extLst>
        </c:ser>
        <c:ser>
          <c:idx val="1"/>
          <c:order val="1"/>
          <c:tx>
            <c:strRef>
              <c:f>'LA timeseries pivots'!$C$3</c:f>
              <c:strCache>
                <c:ptCount val="1"/>
                <c:pt idx="0">
                  <c:v>London</c:v>
                </c:pt>
              </c:strCache>
            </c:strRef>
          </c:tx>
          <c:spPr>
            <a:ln>
              <a:solidFill>
                <a:schemeClr val="tx1"/>
              </a:solidFill>
              <a:prstDash val="sysDot"/>
            </a:ln>
          </c:spPr>
          <c:marker>
            <c:symbol val="none"/>
          </c:marker>
          <c:cat>
            <c:strRef>
              <c:f>'LA timeseries pivots'!$B$37:$B$53</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 pivots'!$E$37:$E$53</c:f>
              <c:numCache>
                <c:formatCode>0.0</c:formatCode>
                <c:ptCount val="17"/>
                <c:pt idx="0">
                  <c:v>#N/A</c:v>
                </c:pt>
                <c:pt idx="1">
                  <c:v>#N/A</c:v>
                </c:pt>
                <c:pt idx="2">
                  <c:v>#N/A</c:v>
                </c:pt>
                <c:pt idx="3">
                  <c:v>#N/A</c:v>
                </c:pt>
                <c:pt idx="4">
                  <c:v>#N/A</c:v>
                </c:pt>
                <c:pt idx="5">
                  <c:v>#N/A</c:v>
                </c:pt>
                <c:pt idx="6">
                  <c:v>#N/A</c:v>
                </c:pt>
                <c:pt idx="7">
                  <c:v>#N/A</c:v>
                </c:pt>
                <c:pt idx="8">
                  <c:v>#N/A</c:v>
                </c:pt>
                <c:pt idx="9">
                  <c:v>83.6888958920362</c:v>
                </c:pt>
                <c:pt idx="10">
                  <c:v>86.333492874236541</c:v>
                </c:pt>
                <c:pt idx="11">
                  <c:v>86.819654306175252</c:v>
                </c:pt>
                <c:pt idx="12">
                  <c:v>84.880957680096884</c:v>
                </c:pt>
                <c:pt idx="13">
                  <c:v>87.947177199345248</c:v>
                </c:pt>
                <c:pt idx="14">
                  <c:v>88.018713469176873</c:v>
                </c:pt>
                <c:pt idx="15">
                  <c:v>88.491044027680275</c:v>
                </c:pt>
                <c:pt idx="16">
                  <c:v>86.113796821973423</c:v>
                </c:pt>
              </c:numCache>
            </c:numRef>
          </c:val>
          <c:smooth val="0"/>
          <c:extLst xmlns:c16r2="http://schemas.microsoft.com/office/drawing/2015/06/chart">
            <c:ext xmlns:c16="http://schemas.microsoft.com/office/drawing/2014/chart" uri="{C3380CC4-5D6E-409C-BE32-E72D297353CC}">
              <c16:uniqueId val="{00000001-3536-48D2-B7F9-001DFD81EE60}"/>
            </c:ext>
          </c:extLst>
        </c:ser>
        <c:ser>
          <c:idx val="2"/>
          <c:order val="2"/>
          <c:tx>
            <c:v>England</c:v>
          </c:tx>
          <c:spPr>
            <a:ln>
              <a:solidFill>
                <a:schemeClr val="bg1">
                  <a:lumMod val="75000"/>
                </a:schemeClr>
              </a:solidFill>
              <a:prstDash val="sysDot"/>
            </a:ln>
          </c:spPr>
          <c:marker>
            <c:symbol val="none"/>
          </c:marker>
          <c:cat>
            <c:strRef>
              <c:f>'LA timeseries pivots'!$B$37:$B$53</c:f>
              <c:strCache>
                <c:ptCount val="17"/>
                <c:pt idx="0">
                  <c:v>Q1 1415</c:v>
                </c:pt>
                <c:pt idx="1">
                  <c:v>Q2 1415</c:v>
                </c:pt>
                <c:pt idx="2">
                  <c:v>Q3 1415</c:v>
                </c:pt>
                <c:pt idx="3">
                  <c:v>Q4 1415</c:v>
                </c:pt>
                <c:pt idx="4">
                  <c:v>Q1 1516</c:v>
                </c:pt>
                <c:pt idx="5">
                  <c:v>Q2 1516</c:v>
                </c:pt>
                <c:pt idx="6">
                  <c:v>Q3 1516</c:v>
                </c:pt>
                <c:pt idx="7">
                  <c:v>Q4 1516</c:v>
                </c:pt>
                <c:pt idx="8">
                  <c:v>Q1 1617</c:v>
                </c:pt>
                <c:pt idx="9">
                  <c:v>Q2 1617</c:v>
                </c:pt>
                <c:pt idx="10">
                  <c:v>Q3 1617</c:v>
                </c:pt>
                <c:pt idx="11">
                  <c:v>Q4 1617</c:v>
                </c:pt>
                <c:pt idx="12">
                  <c:v>Q1 1718</c:v>
                </c:pt>
                <c:pt idx="13">
                  <c:v>Q2 1718</c:v>
                </c:pt>
                <c:pt idx="14">
                  <c:v>Q3 1718</c:v>
                </c:pt>
                <c:pt idx="15">
                  <c:v>Q4 1718</c:v>
                </c:pt>
                <c:pt idx="16">
                  <c:v>Q1 1819</c:v>
                </c:pt>
              </c:strCache>
            </c:strRef>
          </c:cat>
          <c:val>
            <c:numRef>
              <c:f>'LA timeseries pivots'!$Q$37:$Q$53</c:f>
              <c:numCache>
                <c:formatCode>0.0</c:formatCode>
                <c:ptCount val="17"/>
                <c:pt idx="0">
                  <c:v>#N/A</c:v>
                </c:pt>
                <c:pt idx="1">
                  <c:v>#N/A</c:v>
                </c:pt>
                <c:pt idx="2">
                  <c:v>#N/A</c:v>
                </c:pt>
                <c:pt idx="3">
                  <c:v>#N/A</c:v>
                </c:pt>
                <c:pt idx="4">
                  <c:v>#N/A</c:v>
                </c:pt>
                <c:pt idx="5">
                  <c:v>#N/A</c:v>
                </c:pt>
                <c:pt idx="6">
                  <c:v>#N/A</c:v>
                </c:pt>
                <c:pt idx="7">
                  <c:v>#N/A</c:v>
                </c:pt>
                <c:pt idx="8">
                  <c:v>#N/A</c:v>
                </c:pt>
                <c:pt idx="9">
                  <c:v>91.6</c:v>
                </c:pt>
                <c:pt idx="10">
                  <c:v>92.2</c:v>
                </c:pt>
                <c:pt idx="11">
                  <c:v>92.6</c:v>
                </c:pt>
                <c:pt idx="12">
                  <c:v>92.2</c:v>
                </c:pt>
                <c:pt idx="13">
                  <c:v>92.7</c:v>
                </c:pt>
                <c:pt idx="14">
                  <c:v>93</c:v>
                </c:pt>
                <c:pt idx="15">
                  <c:v>92.5</c:v>
                </c:pt>
                <c:pt idx="16">
                  <c:v>#N/A</c:v>
                </c:pt>
              </c:numCache>
            </c:numRef>
          </c:val>
          <c:smooth val="0"/>
          <c:extLst xmlns:c16r2="http://schemas.microsoft.com/office/drawing/2015/06/chart">
            <c:ext xmlns:c16="http://schemas.microsoft.com/office/drawing/2014/chart" uri="{C3380CC4-5D6E-409C-BE32-E72D297353CC}">
              <c16:uniqueId val="{00000002-3536-48D2-B7F9-001DFD81EE60}"/>
            </c:ext>
          </c:extLst>
        </c:ser>
        <c:dLbls>
          <c:showLegendKey val="0"/>
          <c:showVal val="0"/>
          <c:showCatName val="0"/>
          <c:showSerName val="0"/>
          <c:showPercent val="0"/>
          <c:showBubbleSize val="0"/>
        </c:dLbls>
        <c:marker val="1"/>
        <c:smooth val="0"/>
        <c:axId val="188418688"/>
        <c:axId val="188522880"/>
      </c:lineChart>
      <c:catAx>
        <c:axId val="188418688"/>
        <c:scaling>
          <c:orientation val="minMax"/>
        </c:scaling>
        <c:delete val="0"/>
        <c:axPos val="b"/>
        <c:numFmt formatCode="General" sourceLinked="1"/>
        <c:majorTickMark val="out"/>
        <c:minorTickMark val="none"/>
        <c:tickLblPos val="nextTo"/>
        <c:txPr>
          <a:bodyPr/>
          <a:lstStyle/>
          <a:p>
            <a:pPr>
              <a:defRPr sz="900"/>
            </a:pPr>
            <a:endParaRPr lang="en-US"/>
          </a:p>
        </c:txPr>
        <c:crossAx val="188522880"/>
        <c:crosses val="autoZero"/>
        <c:auto val="1"/>
        <c:lblAlgn val="ctr"/>
        <c:lblOffset val="100"/>
        <c:noMultiLvlLbl val="0"/>
      </c:catAx>
      <c:valAx>
        <c:axId val="188522880"/>
        <c:scaling>
          <c:orientation val="minMax"/>
        </c:scaling>
        <c:delete val="0"/>
        <c:axPos val="l"/>
        <c:numFmt formatCode="0" sourceLinked="0"/>
        <c:majorTickMark val="out"/>
        <c:minorTickMark val="none"/>
        <c:tickLblPos val="nextTo"/>
        <c:crossAx val="18841868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4241e61c1be7b1f7f4105d46c6bbf607">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6100a508a352a6a35714024c70b70967"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K57F673QWXRZ-1374-142</_dlc_DocId>
    <_dlc_DocIdUrl xmlns="cccaf3ac-2de9-44d4-aa31-54302fceb5f7">
      <Url>https://nhsengland.sharepoint.com/TeamCentre/VisionandValues/_layouts/15/DocIdRedir.aspx?ID=K57F673QWXRZ-1374-142</Url>
      <Description>K57F673QWXRZ-1374-142</Description>
    </_dlc_DocIdUrl>
    <SharedWithUsers xmlns="11cf67b4-8be8-4203-926d-b1451d6a364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AC98-C470-4FF9-BE8B-8AD5A8FEA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4CD2D-5450-4750-819A-8CC335F93B4D}">
  <ds:schemaRefs>
    <ds:schemaRef ds:uri="http://purl.org/dc/dcmitype/"/>
    <ds:schemaRef ds:uri="http://purl.org/dc/elements/1.1/"/>
    <ds:schemaRef ds:uri="cccaf3ac-2de9-44d4-aa31-54302fceb5f7"/>
    <ds:schemaRef ds:uri="http://purl.org/dc/terms/"/>
    <ds:schemaRef ds:uri="http://schemas.microsoft.com/office/2006/metadata/properties"/>
    <ds:schemaRef ds:uri="11cf67b4-8be8-4203-926d-b1451d6a3644"/>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1367701-27c8-403e-a234-85855c5cd73e"/>
  </ds:schemaRefs>
</ds:datastoreItem>
</file>

<file path=customXml/itemProps3.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4.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5.xml><?xml version="1.0" encoding="utf-8"?>
<ds:datastoreItem xmlns:ds="http://schemas.openxmlformats.org/officeDocument/2006/customXml" ds:itemID="{810CCDBA-A460-4FF2-99C3-43B10C1A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24</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NHS England Report Template 7 - no photo</vt:lpstr>
    </vt:vector>
  </TitlesOfParts>
  <Company>Smith &amp; Milton</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7 - no photo</dc:title>
  <dc:creator>Catherine Heffernan</dc:creator>
  <cp:lastModifiedBy>Miriam Wearing</cp:lastModifiedBy>
  <cp:revision>2</cp:revision>
  <cp:lastPrinted>2018-11-21T14:38:00Z</cp:lastPrinted>
  <dcterms:created xsi:type="dcterms:W3CDTF">2018-12-19T09:41:00Z</dcterms:created>
  <dcterms:modified xsi:type="dcterms:W3CDTF">2018-12-19T09:41:00Z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02086144-c74e-4a8f-887d-78d8e9a1aabf</vt:lpwstr>
  </property>
</Properties>
</file>